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C1" w:rsidRPr="00E018DF" w:rsidRDefault="008309DC" w:rsidP="00C25BC1">
      <w:pPr>
        <w:rPr>
          <w:rFonts w:cs="Arial"/>
          <w:b/>
        </w:rPr>
      </w:pPr>
      <w:bookmarkStart w:id="0" w:name="_GoBack"/>
      <w:bookmarkEnd w:id="0"/>
      <w:r w:rsidRPr="00E018DF">
        <w:rPr>
          <w:noProof/>
          <w:lang w:eastAsia="is-IS"/>
        </w:rPr>
        <w:drawing>
          <wp:inline distT="0" distB="0" distL="0" distR="0" wp14:anchorId="71E306F8" wp14:editId="2D8F55D3">
            <wp:extent cx="762000" cy="902711"/>
            <wp:effectExtent l="0" t="0" r="0" b="0"/>
            <wp:docPr id="4" name="Picture 4" descr="N:\EFLA\Kynningarefni\Lógó\Akureyjarbæ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FLA\Kynningarefni\Lógó\Akureyjarbær\image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202" cy="919535"/>
                    </a:xfrm>
                    <a:prstGeom prst="rect">
                      <a:avLst/>
                    </a:prstGeom>
                    <a:noFill/>
                    <a:ln>
                      <a:noFill/>
                    </a:ln>
                  </pic:spPr>
                </pic:pic>
              </a:graphicData>
            </a:graphic>
          </wp:inline>
        </w:drawing>
      </w:r>
    </w:p>
    <w:p w:rsidR="00C25BC1" w:rsidRPr="00275657" w:rsidRDefault="00C25BC1" w:rsidP="00C25BC1">
      <w:pPr>
        <w:spacing w:line="480" w:lineRule="atLeast"/>
        <w:ind w:left="3960" w:right="142"/>
        <w:outlineLvl w:val="0"/>
        <w:rPr>
          <w:rFonts w:cs="Arial"/>
          <w:b/>
          <w:sz w:val="40"/>
          <w:u w:val="none"/>
        </w:rPr>
      </w:pPr>
      <w:bookmarkStart w:id="1" w:name="_Toc243904491"/>
      <w:bookmarkStart w:id="2" w:name="_Toc244503214"/>
      <w:bookmarkStart w:id="3" w:name="_Toc306980550"/>
      <w:r w:rsidRPr="00275657">
        <w:rPr>
          <w:rFonts w:cs="Arial"/>
          <w:b/>
          <w:sz w:val="40"/>
          <w:u w:val="none"/>
        </w:rPr>
        <w:t>Breyting á deiliskipulagi</w:t>
      </w:r>
      <w:bookmarkEnd w:id="1"/>
      <w:bookmarkEnd w:id="2"/>
      <w:bookmarkEnd w:id="3"/>
    </w:p>
    <w:p w:rsidR="00C25BC1" w:rsidRPr="00275657" w:rsidRDefault="00C25BC1" w:rsidP="00C25BC1">
      <w:pPr>
        <w:spacing w:line="480" w:lineRule="atLeast"/>
        <w:ind w:left="3960" w:right="142"/>
        <w:outlineLvl w:val="0"/>
        <w:rPr>
          <w:rFonts w:cs="Arial"/>
          <w:b/>
          <w:sz w:val="32"/>
          <w:szCs w:val="32"/>
          <w:u w:val="none"/>
        </w:rPr>
      </w:pPr>
      <w:bookmarkStart w:id="4" w:name="_Toc306980551"/>
      <w:r w:rsidRPr="00275657">
        <w:rPr>
          <w:rFonts w:cs="Arial"/>
          <w:b/>
          <w:sz w:val="32"/>
          <w:szCs w:val="32"/>
          <w:u w:val="none"/>
        </w:rPr>
        <w:t>Hafnarsvæði í Krossanesi, Aflþynnuverksmiðja</w:t>
      </w:r>
      <w:bookmarkEnd w:id="4"/>
    </w:p>
    <w:p w:rsidR="00C25BC1" w:rsidRPr="00275657" w:rsidRDefault="00C25BC1" w:rsidP="00C25BC1">
      <w:pPr>
        <w:spacing w:line="480" w:lineRule="atLeast"/>
        <w:ind w:left="3960" w:right="142"/>
        <w:outlineLvl w:val="0"/>
        <w:rPr>
          <w:rFonts w:cs="Arial"/>
          <w:b/>
          <w:sz w:val="32"/>
          <w:szCs w:val="32"/>
          <w:u w:val="none"/>
        </w:rPr>
      </w:pPr>
      <w:bookmarkStart w:id="5" w:name="_Toc243904493"/>
      <w:bookmarkStart w:id="6" w:name="_Toc244503216"/>
      <w:bookmarkStart w:id="7" w:name="_Toc306980552"/>
      <w:r w:rsidRPr="00275657">
        <w:rPr>
          <w:rFonts w:cs="Arial"/>
          <w:b/>
          <w:sz w:val="32"/>
          <w:szCs w:val="32"/>
          <w:u w:val="none"/>
        </w:rPr>
        <w:t>Október 20</w:t>
      </w:r>
      <w:bookmarkEnd w:id="5"/>
      <w:bookmarkEnd w:id="6"/>
      <w:r w:rsidRPr="00275657">
        <w:rPr>
          <w:rFonts w:cs="Arial"/>
          <w:b/>
          <w:sz w:val="32"/>
          <w:szCs w:val="32"/>
          <w:u w:val="none"/>
        </w:rPr>
        <w:t>11</w:t>
      </w:r>
      <w:bookmarkEnd w:id="7"/>
    </w:p>
    <w:p w:rsidR="00C25BC1" w:rsidRPr="00275657" w:rsidRDefault="00C25BC1" w:rsidP="00C25BC1">
      <w:pPr>
        <w:spacing w:before="200" w:line="480" w:lineRule="atLeast"/>
        <w:ind w:left="3960" w:right="144"/>
        <w:rPr>
          <w:rFonts w:cs="Arial"/>
          <w:sz w:val="28"/>
          <w:u w:val="none"/>
        </w:rPr>
      </w:pPr>
    </w:p>
    <w:p w:rsidR="00C25BC1" w:rsidRPr="00275657" w:rsidRDefault="00C25BC1" w:rsidP="00C25BC1">
      <w:pPr>
        <w:spacing w:before="200" w:line="480" w:lineRule="atLeast"/>
        <w:ind w:left="3960" w:right="144"/>
        <w:rPr>
          <w:rFonts w:cs="Arial"/>
          <w:sz w:val="28"/>
          <w:u w:val="none"/>
        </w:rPr>
      </w:pPr>
      <w:r w:rsidRPr="00275657">
        <w:rPr>
          <w:rFonts w:cs="Arial"/>
          <w:sz w:val="28"/>
          <w:u w:val="none"/>
        </w:rPr>
        <w:t>Umhverfisskýrsla</w:t>
      </w:r>
    </w:p>
    <w:p w:rsidR="00C25BC1" w:rsidRPr="00E018DF" w:rsidRDefault="00B527EC" w:rsidP="00C25BC1">
      <w:pPr>
        <w:spacing w:before="200" w:line="480" w:lineRule="atLeast"/>
        <w:ind w:left="3960" w:right="144"/>
        <w:rPr>
          <w:rFonts w:cs="Arial"/>
          <w:sz w:val="28"/>
        </w:rPr>
      </w:pPr>
      <w:r>
        <w:rPr>
          <w:rFonts w:cs="Arial"/>
          <w:noProof/>
          <w:sz w:val="28"/>
          <w:lang w:eastAsia="is-IS"/>
        </w:rPr>
        <w:drawing>
          <wp:inline distT="0" distB="0" distL="0" distR="0">
            <wp:extent cx="3781285" cy="2385060"/>
            <wp:effectExtent l="0" t="0" r="0" b="0"/>
            <wp:docPr id="2" name="Picture 2" descr="C:\Users\Brynja\AppData\Local\Temp\notesFCBCEE\GAG_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nja\AppData\Local\Temp\notesFCBCEE\GAG_21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9266" cy="2383786"/>
                    </a:xfrm>
                    <a:prstGeom prst="rect">
                      <a:avLst/>
                    </a:prstGeom>
                    <a:noFill/>
                    <a:ln>
                      <a:noFill/>
                    </a:ln>
                  </pic:spPr>
                </pic:pic>
              </a:graphicData>
            </a:graphic>
          </wp:inline>
        </w:drawing>
      </w:r>
    </w:p>
    <w:p w:rsidR="00C25BC1" w:rsidRPr="00E018DF" w:rsidRDefault="00C25BC1" w:rsidP="00C25BC1">
      <w:pPr>
        <w:spacing w:before="200" w:line="480" w:lineRule="atLeast"/>
        <w:ind w:left="-770" w:right="144"/>
        <w:rPr>
          <w:rFonts w:cs="Arial"/>
          <w:sz w:val="28"/>
        </w:rPr>
      </w:pPr>
    </w:p>
    <w:p w:rsidR="00C25BC1" w:rsidRPr="00E018DF" w:rsidRDefault="00C25BC1" w:rsidP="00C25BC1"/>
    <w:p w:rsidR="00C25BC1" w:rsidRPr="00E018DF" w:rsidRDefault="00C25BC1" w:rsidP="00C25BC1">
      <w:pPr>
        <w:rPr>
          <w:lang w:eastAsia="is-IS"/>
        </w:rPr>
        <w:sectPr w:rsidR="00C25BC1" w:rsidRPr="00E018DF" w:rsidSect="003019D0">
          <w:headerReference w:type="even" r:id="rId11"/>
          <w:headerReference w:type="default" r:id="rId12"/>
          <w:footerReference w:type="default" r:id="rId13"/>
          <w:headerReference w:type="first" r:id="rId14"/>
          <w:pgSz w:w="11906" w:h="16838"/>
          <w:pgMar w:top="1417" w:right="1417" w:bottom="1417" w:left="1134" w:header="708" w:footer="708" w:gutter="0"/>
          <w:cols w:space="708"/>
          <w:docGrid w:linePitch="360"/>
        </w:sectPr>
      </w:pPr>
    </w:p>
    <w:p w:rsidR="00C25BC1" w:rsidRPr="00E018DF" w:rsidRDefault="00C25BC1" w:rsidP="00C25BC1">
      <w:pPr>
        <w:rPr>
          <w:lang w:eastAsia="is-IS"/>
        </w:rPr>
      </w:pPr>
    </w:p>
    <w:sdt>
      <w:sdtPr>
        <w:rPr>
          <w:rFonts w:ascii="Arial" w:eastAsia="Times New Roman" w:hAnsi="Arial" w:cs="Times New Roman"/>
          <w:b w:val="0"/>
          <w:bCs w:val="0"/>
          <w:sz w:val="22"/>
          <w:szCs w:val="24"/>
          <w:u w:val="single"/>
          <w:lang w:val="is-IS"/>
        </w:rPr>
        <w:id w:val="23700938"/>
        <w:docPartObj>
          <w:docPartGallery w:val="Table of Contents"/>
          <w:docPartUnique/>
        </w:docPartObj>
      </w:sdtPr>
      <w:sdtEndPr>
        <w:rPr>
          <w:rFonts w:ascii="Times New Roman" w:eastAsiaTheme="minorHAnsi" w:hAnsi="Times New Roman" w:cstheme="minorBidi"/>
          <w:szCs w:val="22"/>
        </w:rPr>
      </w:sdtEndPr>
      <w:sdtContent>
        <w:p w:rsidR="00C25BC1" w:rsidRPr="00E018DF" w:rsidRDefault="00C25BC1" w:rsidP="00C25BC1">
          <w:pPr>
            <w:pStyle w:val="TOCHeading"/>
            <w:rPr>
              <w:lang w:val="is-IS"/>
            </w:rPr>
          </w:pPr>
          <w:r w:rsidRPr="00C65B00">
            <w:rPr>
              <w:lang w:val="is-IS"/>
            </w:rPr>
            <w:t>Efnisyfirlit</w:t>
          </w:r>
        </w:p>
        <w:p w:rsidR="00B82B0F" w:rsidRPr="00E018DF" w:rsidRDefault="0026046B">
          <w:pPr>
            <w:pStyle w:val="TOC1"/>
            <w:rPr>
              <w:rFonts w:asciiTheme="minorHAnsi" w:eastAsiaTheme="minorEastAsia" w:hAnsiTheme="minorHAnsi" w:cstheme="minorBidi"/>
              <w:noProof w:val="0"/>
              <w:szCs w:val="22"/>
              <w:lang w:eastAsia="is-IS"/>
            </w:rPr>
          </w:pPr>
          <w:r w:rsidRPr="00E018DF">
            <w:rPr>
              <w:noProof w:val="0"/>
            </w:rPr>
            <w:fldChar w:fldCharType="begin"/>
          </w:r>
          <w:r w:rsidR="00C25BC1" w:rsidRPr="00E018DF">
            <w:rPr>
              <w:noProof w:val="0"/>
            </w:rPr>
            <w:instrText xml:space="preserve"> TOC \o "1-3" \h \z \u </w:instrText>
          </w:r>
          <w:r w:rsidRPr="00E018DF">
            <w:rPr>
              <w:noProof w:val="0"/>
            </w:rPr>
            <w:fldChar w:fldCharType="separate"/>
          </w:r>
        </w:p>
        <w:p w:rsidR="00B82B0F" w:rsidRPr="00E018DF" w:rsidRDefault="00156B02">
          <w:pPr>
            <w:pStyle w:val="TOC1"/>
            <w:rPr>
              <w:rFonts w:asciiTheme="minorHAnsi" w:eastAsiaTheme="minorEastAsia" w:hAnsiTheme="minorHAnsi" w:cstheme="minorBidi"/>
              <w:noProof w:val="0"/>
              <w:szCs w:val="22"/>
              <w:lang w:eastAsia="is-IS"/>
            </w:rPr>
          </w:pPr>
          <w:hyperlink w:anchor="_Toc306980553" w:history="1">
            <w:r w:rsidR="00B82B0F" w:rsidRPr="00E018DF">
              <w:rPr>
                <w:rStyle w:val="Hyperlink"/>
                <w:noProof w:val="0"/>
                <w:lang w:eastAsia="is-IS"/>
              </w:rPr>
              <w:t>Samantekt</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_Toc306980553 \h </w:instrText>
            </w:r>
            <w:r w:rsidR="0026046B" w:rsidRPr="00E018DF">
              <w:rPr>
                <w:noProof w:val="0"/>
                <w:webHidden/>
              </w:rPr>
            </w:r>
            <w:r w:rsidR="0026046B" w:rsidRPr="00E018DF">
              <w:rPr>
                <w:noProof w:val="0"/>
                <w:webHidden/>
              </w:rPr>
              <w:fldChar w:fldCharType="separate"/>
            </w:r>
            <w:r w:rsidR="002E0037">
              <w:rPr>
                <w:webHidden/>
              </w:rPr>
              <w:t>3</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4" w:history="1">
            <w:r w:rsidR="00B82B0F" w:rsidRPr="00E018DF">
              <w:rPr>
                <w:rStyle w:val="Hyperlink"/>
                <w:noProof w:val="0"/>
                <w:lang w:eastAsia="is-IS"/>
              </w:rPr>
              <w:t>Inngangur</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_Toc306980554 \h </w:instrText>
            </w:r>
            <w:r w:rsidR="0026046B" w:rsidRPr="00E018DF">
              <w:rPr>
                <w:noProof w:val="0"/>
                <w:webHidden/>
              </w:rPr>
            </w:r>
            <w:r w:rsidR="0026046B" w:rsidRPr="00E018DF">
              <w:rPr>
                <w:noProof w:val="0"/>
                <w:webHidden/>
              </w:rPr>
              <w:fldChar w:fldCharType="separate"/>
            </w:r>
            <w:r w:rsidR="002E0037">
              <w:rPr>
                <w:webHidden/>
              </w:rPr>
              <w:t>4</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5" w:history="1">
            <w:r w:rsidR="00B82B0F" w:rsidRPr="00E018DF">
              <w:rPr>
                <w:rStyle w:val="Hyperlink"/>
                <w:noProof w:val="0"/>
                <w:lang w:eastAsia="is-IS"/>
              </w:rPr>
              <w:t>Tengsl</w:t>
            </w:r>
            <w:r w:rsidR="00B82B0F" w:rsidRPr="00E018DF">
              <w:rPr>
                <w:rStyle w:val="Hyperlink"/>
                <w:noProof w:val="0"/>
              </w:rPr>
              <w:t xml:space="preserve"> við aðrar áætlanir</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_Toc306980555 \h </w:instrText>
            </w:r>
            <w:r w:rsidR="0026046B" w:rsidRPr="00E018DF">
              <w:rPr>
                <w:noProof w:val="0"/>
                <w:webHidden/>
              </w:rPr>
            </w:r>
            <w:r w:rsidR="0026046B" w:rsidRPr="00E018DF">
              <w:rPr>
                <w:noProof w:val="0"/>
                <w:webHidden/>
              </w:rPr>
              <w:fldChar w:fldCharType="separate"/>
            </w:r>
            <w:r w:rsidR="002E0037">
              <w:rPr>
                <w:webHidden/>
              </w:rPr>
              <w:t>4</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6" w:history="1">
            <w:r w:rsidR="00B82B0F" w:rsidRPr="00E018DF">
              <w:rPr>
                <w:rStyle w:val="Hyperlink"/>
                <w:noProof w:val="0"/>
              </w:rPr>
              <w:t>Umhverfismat</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_Toc306980556 \h </w:instrText>
            </w:r>
            <w:r w:rsidR="0026046B" w:rsidRPr="00E018DF">
              <w:rPr>
                <w:noProof w:val="0"/>
                <w:webHidden/>
              </w:rPr>
            </w:r>
            <w:r w:rsidR="0026046B" w:rsidRPr="00E018DF">
              <w:rPr>
                <w:noProof w:val="0"/>
                <w:webHidden/>
              </w:rPr>
              <w:fldChar w:fldCharType="separate"/>
            </w:r>
            <w:r w:rsidR="002E0037">
              <w:rPr>
                <w:webHidden/>
              </w:rPr>
              <w:t>4</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7" w:history="1">
            <w:r w:rsidR="00B82B0F" w:rsidRPr="00E018DF">
              <w:rPr>
                <w:rStyle w:val="Hyperlink"/>
                <w:noProof w:val="0"/>
              </w:rPr>
              <w:t>Skilgreining á vægi áhrifa</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_Toc306980557 \h </w:instrText>
            </w:r>
            <w:r w:rsidR="0026046B" w:rsidRPr="00E018DF">
              <w:rPr>
                <w:noProof w:val="0"/>
                <w:webHidden/>
              </w:rPr>
            </w:r>
            <w:r w:rsidR="0026046B" w:rsidRPr="00E018DF">
              <w:rPr>
                <w:noProof w:val="0"/>
                <w:webHidden/>
              </w:rPr>
              <w:fldChar w:fldCharType="separate"/>
            </w:r>
            <w:r w:rsidR="002E0037">
              <w:rPr>
                <w:webHidden/>
              </w:rPr>
              <w:t>5</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8" w:history="1">
            <w:r w:rsidR="00B82B0F" w:rsidRPr="00E018DF">
              <w:rPr>
                <w:rStyle w:val="Hyperlink"/>
                <w:noProof w:val="0"/>
              </w:rPr>
              <w:t>Skilgreining, lýsing og mat á umhverfisáhrifum</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_Toc306980558 \h </w:instrText>
            </w:r>
            <w:r w:rsidR="0026046B" w:rsidRPr="00E018DF">
              <w:rPr>
                <w:noProof w:val="0"/>
                <w:webHidden/>
              </w:rPr>
            </w:r>
            <w:r w:rsidR="0026046B" w:rsidRPr="00E018DF">
              <w:rPr>
                <w:noProof w:val="0"/>
                <w:webHidden/>
              </w:rPr>
              <w:fldChar w:fldCharType="separate"/>
            </w:r>
            <w:r w:rsidR="002E0037">
              <w:rPr>
                <w:webHidden/>
              </w:rPr>
              <w:t>6</w:t>
            </w:r>
            <w:r w:rsidR="0026046B" w:rsidRPr="00E018DF">
              <w:rPr>
                <w:noProof w:val="0"/>
                <w:webHidden/>
              </w:rPr>
              <w:fldChar w:fldCharType="end"/>
            </w:r>
          </w:hyperlink>
        </w:p>
        <w:p w:rsidR="00B82B0F" w:rsidRPr="00E018DF" w:rsidRDefault="00156B02">
          <w:pPr>
            <w:pStyle w:val="TOC1"/>
            <w:rPr>
              <w:rFonts w:asciiTheme="minorHAnsi" w:eastAsiaTheme="minorEastAsia" w:hAnsiTheme="minorHAnsi" w:cstheme="minorBidi"/>
              <w:noProof w:val="0"/>
              <w:szCs w:val="22"/>
              <w:lang w:eastAsia="is-IS"/>
            </w:rPr>
          </w:pPr>
          <w:hyperlink w:anchor="_Toc306980559" w:history="1">
            <w:r w:rsidR="00B82B0F" w:rsidRPr="00E018DF">
              <w:rPr>
                <w:rStyle w:val="Hyperlink"/>
                <w:noProof w:val="0"/>
              </w:rPr>
              <w:t>Niðurstaða</w:t>
            </w:r>
            <w:r w:rsidR="00B82B0F" w:rsidRPr="00E018DF">
              <w:rPr>
                <w:noProof w:val="0"/>
                <w:webHidden/>
              </w:rPr>
              <w:tab/>
            </w:r>
            <w:r w:rsidR="0026046B" w:rsidRPr="00E018DF">
              <w:rPr>
                <w:noProof w:val="0"/>
                <w:webHidden/>
              </w:rPr>
              <w:fldChar w:fldCharType="begin"/>
            </w:r>
            <w:r w:rsidR="00B82B0F" w:rsidRPr="00E018DF">
              <w:rPr>
                <w:noProof w:val="0"/>
                <w:webHidden/>
              </w:rPr>
              <w:instrText xml:space="preserve"> PAGEREF _Toc306980559 \h </w:instrText>
            </w:r>
            <w:r w:rsidR="0026046B" w:rsidRPr="00E018DF">
              <w:rPr>
                <w:noProof w:val="0"/>
                <w:webHidden/>
              </w:rPr>
            </w:r>
            <w:r w:rsidR="0026046B" w:rsidRPr="00E018DF">
              <w:rPr>
                <w:noProof w:val="0"/>
                <w:webHidden/>
              </w:rPr>
              <w:fldChar w:fldCharType="separate"/>
            </w:r>
            <w:r w:rsidR="002E0037">
              <w:rPr>
                <w:webHidden/>
              </w:rPr>
              <w:t>8</w:t>
            </w:r>
            <w:r w:rsidR="0026046B" w:rsidRPr="00E018DF">
              <w:rPr>
                <w:noProof w:val="0"/>
                <w:webHidden/>
              </w:rPr>
              <w:fldChar w:fldCharType="end"/>
            </w:r>
          </w:hyperlink>
        </w:p>
        <w:p w:rsidR="00C25BC1" w:rsidRPr="00E018DF" w:rsidRDefault="0026046B" w:rsidP="00C25BC1">
          <w:r w:rsidRPr="00E018DF">
            <w:fldChar w:fldCharType="end"/>
          </w:r>
        </w:p>
      </w:sdtContent>
    </w:sdt>
    <w:p w:rsidR="00C25BC1" w:rsidRPr="00E018DF" w:rsidRDefault="00C25BC1" w:rsidP="00C25BC1">
      <w:pPr>
        <w:rPr>
          <w:lang w:eastAsia="is-IS"/>
        </w:rPr>
      </w:pPr>
    </w:p>
    <w:p w:rsidR="00C25BC1" w:rsidRPr="00E018DF" w:rsidRDefault="00C25BC1" w:rsidP="00C25BC1">
      <w:pPr>
        <w:rPr>
          <w:lang w:eastAsia="is-IS"/>
        </w:rPr>
      </w:pPr>
    </w:p>
    <w:p w:rsidR="004A4BBC" w:rsidRPr="00E018DF" w:rsidRDefault="004A4BBC" w:rsidP="004A4BBC">
      <w:pPr>
        <w:autoSpaceDE w:val="0"/>
        <w:autoSpaceDN w:val="0"/>
        <w:adjustRightInd w:val="0"/>
        <w:spacing w:after="0" w:line="240" w:lineRule="auto"/>
        <w:rPr>
          <w:rFonts w:cs="Times New Roman"/>
          <w:b/>
          <w:bCs/>
          <w:color w:val="000000"/>
          <w:sz w:val="52"/>
          <w:szCs w:val="52"/>
          <w:u w:val="none"/>
        </w:rPr>
      </w:pPr>
    </w:p>
    <w:p w:rsidR="004A4BBC" w:rsidRPr="00E018DF" w:rsidRDefault="004A4BBC" w:rsidP="004A4BBC">
      <w:pPr>
        <w:autoSpaceDE w:val="0"/>
        <w:autoSpaceDN w:val="0"/>
        <w:adjustRightInd w:val="0"/>
        <w:spacing w:after="0" w:line="240" w:lineRule="auto"/>
        <w:rPr>
          <w:rFonts w:cs="Times New Roman"/>
          <w:b/>
          <w:bCs/>
          <w:color w:val="000000"/>
          <w:sz w:val="52"/>
          <w:szCs w:val="52"/>
          <w:u w:val="none"/>
        </w:rPr>
      </w:pPr>
    </w:p>
    <w:p w:rsidR="004A4BBC" w:rsidRPr="00E018DF" w:rsidRDefault="004A4BBC" w:rsidP="004A4BBC">
      <w:pPr>
        <w:autoSpaceDE w:val="0"/>
        <w:autoSpaceDN w:val="0"/>
        <w:adjustRightInd w:val="0"/>
        <w:spacing w:after="0" w:line="240" w:lineRule="auto"/>
        <w:rPr>
          <w:rFonts w:cs="Times New Roman"/>
          <w:b/>
          <w:bCs/>
          <w:color w:val="000000"/>
          <w:sz w:val="52"/>
          <w:szCs w:val="52"/>
          <w:u w:val="none"/>
        </w:rPr>
      </w:pPr>
    </w:p>
    <w:p w:rsidR="003019D0" w:rsidRPr="00E018DF" w:rsidRDefault="003019D0">
      <w:pPr>
        <w:rPr>
          <w:rFonts w:cs="Times New Roman"/>
          <w:b/>
          <w:bCs/>
          <w:color w:val="000000"/>
          <w:sz w:val="52"/>
          <w:szCs w:val="52"/>
          <w:u w:val="none"/>
        </w:rPr>
      </w:pPr>
      <w:r w:rsidRPr="00E018DF">
        <w:rPr>
          <w:rFonts w:cs="Times New Roman"/>
          <w:b/>
          <w:bCs/>
          <w:color w:val="000000"/>
          <w:sz w:val="52"/>
          <w:szCs w:val="52"/>
          <w:u w:val="none"/>
        </w:rPr>
        <w:br w:type="page"/>
      </w:r>
    </w:p>
    <w:p w:rsidR="00C22A90" w:rsidRPr="00E018DF" w:rsidRDefault="00C22A90" w:rsidP="00B82B0F">
      <w:pPr>
        <w:pStyle w:val="Heading1"/>
        <w:rPr>
          <w:lang w:eastAsia="is-IS"/>
        </w:rPr>
      </w:pPr>
      <w:bookmarkStart w:id="8" w:name="_Toc306980553"/>
      <w:r w:rsidRPr="00C65B00">
        <w:rPr>
          <w:lang w:eastAsia="is-IS"/>
        </w:rPr>
        <w:lastRenderedPageBreak/>
        <w:t>Samantekt</w:t>
      </w:r>
      <w:bookmarkEnd w:id="8"/>
    </w:p>
    <w:p w:rsidR="00C22A90" w:rsidRPr="00E018DF" w:rsidRDefault="00B82B0F" w:rsidP="00C22A90">
      <w:pPr>
        <w:autoSpaceDE w:val="0"/>
        <w:autoSpaceDN w:val="0"/>
        <w:adjustRightInd w:val="0"/>
        <w:spacing w:before="60"/>
        <w:rPr>
          <w:rFonts w:cs="Times New Roman"/>
          <w:u w:val="none"/>
          <w:lang w:eastAsia="is-IS"/>
        </w:rPr>
      </w:pPr>
      <w:r w:rsidRPr="00E018DF">
        <w:rPr>
          <w:rFonts w:cs="Times New Roman"/>
          <w:u w:val="none"/>
          <w:lang w:eastAsia="is-IS"/>
        </w:rPr>
        <w:t>Markmið</w:t>
      </w:r>
      <w:r w:rsidR="002321EB" w:rsidRPr="00E018DF">
        <w:rPr>
          <w:rFonts w:cs="Times New Roman"/>
          <w:u w:val="none"/>
          <w:lang w:eastAsia="is-IS"/>
        </w:rPr>
        <w:t xml:space="preserve"> deiliskipulags</w:t>
      </w:r>
      <w:r w:rsidRPr="00E018DF">
        <w:rPr>
          <w:rFonts w:cs="Times New Roman"/>
          <w:u w:val="none"/>
          <w:lang w:eastAsia="is-IS"/>
        </w:rPr>
        <w:t>breytingarinnar</w:t>
      </w:r>
      <w:r w:rsidR="002321EB" w:rsidRPr="00E018DF">
        <w:rPr>
          <w:rFonts w:cs="Times New Roman"/>
          <w:u w:val="none"/>
          <w:lang w:eastAsia="is-IS"/>
        </w:rPr>
        <w:t xml:space="preserve"> lýtur að stækkun lóðar og byggingarreits á lóð aflþynnuverksmiðjunnar Krossanesi 4 og hliðrun á veglínu Krossanesbrautar til vesturs. </w:t>
      </w:r>
      <w:r w:rsidRPr="00E018DF">
        <w:rPr>
          <w:rFonts w:cs="Times New Roman"/>
          <w:u w:val="none"/>
          <w:lang w:eastAsia="is-IS"/>
        </w:rPr>
        <w:t>Deiliskipulagsbreytingin er</w:t>
      </w:r>
      <w:r w:rsidR="002321EB" w:rsidRPr="00E018DF">
        <w:rPr>
          <w:rFonts w:cs="Times New Roman"/>
          <w:u w:val="none"/>
          <w:lang w:eastAsia="is-IS"/>
        </w:rPr>
        <w:t xml:space="preserve"> í samræmi við aðalskipulag Akureyrarbæjar 2005-2018</w:t>
      </w:r>
      <w:r w:rsidR="00C22A90" w:rsidRPr="00E018DF">
        <w:rPr>
          <w:rFonts w:cs="Times New Roman"/>
          <w:u w:val="none"/>
          <w:lang w:eastAsia="is-IS"/>
        </w:rPr>
        <w:t xml:space="preserve">. </w:t>
      </w:r>
    </w:p>
    <w:p w:rsidR="00C65B00" w:rsidRDefault="00C22A90" w:rsidP="00C22A90">
      <w:pPr>
        <w:spacing w:before="60"/>
        <w:rPr>
          <w:rFonts w:cs="Times New Roman"/>
          <w:u w:val="none"/>
        </w:rPr>
      </w:pPr>
      <w:r w:rsidRPr="00E018DF">
        <w:rPr>
          <w:rFonts w:cs="Times New Roman"/>
          <w:u w:val="none"/>
        </w:rPr>
        <w:t>Mismunandi valkostir eru ekki til samanburðar í þessu umhverfismati</w:t>
      </w:r>
      <w:r w:rsidR="00E71F42" w:rsidRPr="00E018DF">
        <w:rPr>
          <w:rFonts w:cs="Times New Roman"/>
          <w:u w:val="none"/>
        </w:rPr>
        <w:t>.</w:t>
      </w:r>
      <w:r w:rsidRPr="00E018DF">
        <w:rPr>
          <w:rFonts w:cs="Times New Roman"/>
          <w:u w:val="none"/>
          <w:lang w:eastAsia="is-IS"/>
        </w:rPr>
        <w:t xml:space="preserve"> Svæðið er ætlað undir iðnað, verði ekki af breytingu deiliskipulagsins verður ekki af stækkun </w:t>
      </w:r>
      <w:r w:rsidR="00C65B00" w:rsidRPr="00E018DF">
        <w:rPr>
          <w:rFonts w:cs="Times New Roman"/>
          <w:u w:val="none"/>
        </w:rPr>
        <w:t>aflþynnuverksmiðjunnar í þeirri mynd sem fyrirhuguð er</w:t>
      </w:r>
      <w:r w:rsidR="00C65B00">
        <w:rPr>
          <w:rFonts w:cs="Times New Roman"/>
          <w:u w:val="none"/>
        </w:rPr>
        <w:t xml:space="preserve">. </w:t>
      </w:r>
      <w:r w:rsidR="00C65B00" w:rsidRPr="00E018DF">
        <w:rPr>
          <w:rFonts w:cs="Times New Roman"/>
          <w:u w:val="none"/>
        </w:rPr>
        <w:t>Líkleg niðurstaða núllkostar er að hætt verði við stækkun eða að notast verði við eldri gerð vélasamstæða.</w:t>
      </w:r>
    </w:p>
    <w:p w:rsidR="00C22A90" w:rsidRPr="00E018DF" w:rsidRDefault="00C22A90" w:rsidP="00C22A90">
      <w:pPr>
        <w:spacing w:before="60"/>
        <w:rPr>
          <w:rFonts w:cs="Times New Roman"/>
          <w:u w:val="none"/>
          <w:lang w:eastAsia="is-IS"/>
        </w:rPr>
      </w:pPr>
      <w:r w:rsidRPr="00E018DF">
        <w:rPr>
          <w:rFonts w:cs="Times New Roman"/>
          <w:u w:val="none"/>
          <w:lang w:eastAsia="is-IS"/>
        </w:rPr>
        <w:t>Þeir þættir breytingarinnar sem taldir eru geta valdið umhverfisáhrifum eru stækkun aflþynnuverksmiðjunnar og aukið frárennsli frá</w:t>
      </w:r>
      <w:r w:rsidR="007144B5" w:rsidRPr="00E018DF">
        <w:rPr>
          <w:rFonts w:cs="Times New Roman"/>
          <w:u w:val="none"/>
          <w:lang w:eastAsia="is-IS"/>
        </w:rPr>
        <w:t xml:space="preserve"> henni ásamt lítilsháttar </w:t>
      </w:r>
      <w:r w:rsidR="00F255F1" w:rsidRPr="00E018DF">
        <w:rPr>
          <w:rFonts w:cs="Times New Roman"/>
          <w:u w:val="none"/>
          <w:lang w:eastAsia="is-IS"/>
        </w:rPr>
        <w:t>hliðrun</w:t>
      </w:r>
      <w:r w:rsidR="007144B5" w:rsidRPr="00E018DF">
        <w:rPr>
          <w:rFonts w:cs="Times New Roman"/>
          <w:u w:val="none"/>
          <w:lang w:eastAsia="is-IS"/>
        </w:rPr>
        <w:t xml:space="preserve"> Krossanesbrautar til vesturs og því raski sem því fylgir</w:t>
      </w:r>
      <w:r w:rsidRPr="00E018DF">
        <w:rPr>
          <w:rFonts w:cs="Times New Roman"/>
          <w:u w:val="none"/>
          <w:lang w:eastAsia="is-IS"/>
        </w:rPr>
        <w:t xml:space="preserve">. </w:t>
      </w:r>
      <w:r w:rsidRPr="00E018DF">
        <w:rPr>
          <w:rFonts w:cs="Times New Roman"/>
          <w:u w:val="none"/>
        </w:rPr>
        <w:t>Þeir umhverfisþættir sem litið er til eru eftirfarandi: sjór og strandsvæði, heilsa og öryggi, landslag, menningarminja</w:t>
      </w:r>
      <w:r w:rsidR="007144B5" w:rsidRPr="00E018DF">
        <w:rPr>
          <w:rFonts w:cs="Times New Roman"/>
          <w:u w:val="none"/>
        </w:rPr>
        <w:t>r</w:t>
      </w:r>
      <w:r w:rsidRPr="00E018DF">
        <w:rPr>
          <w:rFonts w:cs="Times New Roman"/>
          <w:u w:val="none"/>
        </w:rPr>
        <w:t xml:space="preserve"> og náttúruminjar</w:t>
      </w:r>
      <w:r w:rsidR="007144B5" w:rsidRPr="00E018DF">
        <w:rPr>
          <w:rFonts w:cs="Times New Roman"/>
          <w:u w:val="none"/>
        </w:rPr>
        <w:t>.</w:t>
      </w:r>
    </w:p>
    <w:p w:rsidR="00C22A90" w:rsidRPr="00E018DF" w:rsidRDefault="00C22A90" w:rsidP="00C22A90">
      <w:pPr>
        <w:spacing w:before="60"/>
        <w:rPr>
          <w:rFonts w:cs="Times New Roman"/>
          <w:sz w:val="20"/>
          <w:szCs w:val="20"/>
          <w:u w:val="none"/>
        </w:rPr>
      </w:pPr>
      <w:r w:rsidRPr="00E018DF">
        <w:rPr>
          <w:rFonts w:cs="Times New Roman"/>
          <w:u w:val="none"/>
        </w:rPr>
        <w:t xml:space="preserve">Forsendur við mat á umhverfisáhrifum byggja á tveimur meginþáttum, </w:t>
      </w:r>
      <w:r w:rsidR="007144B5" w:rsidRPr="00E018DF">
        <w:rPr>
          <w:rFonts w:cs="Times New Roman"/>
          <w:u w:val="none"/>
        </w:rPr>
        <w:t>v</w:t>
      </w:r>
      <w:r w:rsidRPr="00E018DF">
        <w:rPr>
          <w:rFonts w:cs="Times New Roman"/>
          <w:u w:val="none"/>
        </w:rPr>
        <w:t>iðmiðum í lögum og reglugerðum, stefnumótun stjórnvalda og skuldbindingar á alþjóðavísu og greining sérfræðinga á einkennum og vægi áhrifa á einstaka umhverfisþætti á áhrifasvæði</w:t>
      </w:r>
      <w:r w:rsidRPr="00E018DF">
        <w:rPr>
          <w:rFonts w:cs="Times New Roman"/>
          <w:sz w:val="20"/>
          <w:szCs w:val="20"/>
          <w:u w:val="none"/>
        </w:rPr>
        <w:t>.</w:t>
      </w:r>
    </w:p>
    <w:p w:rsidR="00C22A90" w:rsidRPr="00E018DF" w:rsidRDefault="00C22A90" w:rsidP="00C22A90">
      <w:pPr>
        <w:autoSpaceDE w:val="0"/>
        <w:autoSpaceDN w:val="0"/>
        <w:adjustRightInd w:val="0"/>
        <w:spacing w:before="60"/>
        <w:rPr>
          <w:rFonts w:cs="Times New Roman"/>
          <w:u w:val="none"/>
        </w:rPr>
      </w:pPr>
      <w:r w:rsidRPr="00E018DF">
        <w:rPr>
          <w:rFonts w:cs="Times New Roman"/>
          <w:u w:val="none"/>
        </w:rPr>
        <w:t>Engin þekkt umhverfisvandamál varða áætlunina. Framkvæmdir samkvæmt skipulagsáætluninni gefa ekki tilefni til sérstakra mótvægisaðgerða og ekki er talin ástæða til að vakta sérstaklega áhrif áætlunarinnar umfram það eftirlit sem lögboðnir eftirlitsaðilar hafa með höndum hvort sem er.</w:t>
      </w:r>
    </w:p>
    <w:p w:rsidR="00C22A90" w:rsidRPr="00E018DF" w:rsidRDefault="00C22A90" w:rsidP="00C22A90">
      <w:pPr>
        <w:autoSpaceDE w:val="0"/>
        <w:autoSpaceDN w:val="0"/>
        <w:adjustRightInd w:val="0"/>
        <w:spacing w:before="60"/>
        <w:rPr>
          <w:rFonts w:cs="Times New Roman"/>
          <w:u w:val="none"/>
        </w:rPr>
      </w:pPr>
      <w:r w:rsidRPr="00E018DF">
        <w:rPr>
          <w:rFonts w:cs="Times New Roman"/>
          <w:u w:val="none"/>
        </w:rPr>
        <w:t>Framkvæmdir á grundvelli þeirra breytinga sem gerðar eru á deiliskipulagi hafnarsvæðisins í Krossanesi eru ekki taldar líklegar til að hafa í för með sér umtalsverð umhverfisáhrif.</w:t>
      </w:r>
    </w:p>
    <w:p w:rsidR="00C22A90" w:rsidRPr="00E018DF" w:rsidRDefault="00C22A90" w:rsidP="00C22A90">
      <w:pPr>
        <w:rPr>
          <w:rFonts w:cs="Times New Roman"/>
          <w:b/>
          <w:bCs/>
          <w:sz w:val="26"/>
          <w:szCs w:val="26"/>
          <w:u w:val="none"/>
          <w:lang w:eastAsia="is-IS"/>
        </w:rPr>
      </w:pPr>
      <w:r w:rsidRPr="00E018DF">
        <w:rPr>
          <w:rFonts w:cs="Times New Roman"/>
          <w:u w:val="none"/>
          <w:lang w:eastAsia="is-IS"/>
        </w:rPr>
        <w:br w:type="page"/>
      </w:r>
    </w:p>
    <w:p w:rsidR="00C22A90" w:rsidRPr="00E018DF" w:rsidRDefault="00C22A90" w:rsidP="00B82B0F">
      <w:pPr>
        <w:pStyle w:val="Heading1"/>
        <w:rPr>
          <w:lang w:eastAsia="is-IS"/>
        </w:rPr>
      </w:pPr>
      <w:bookmarkStart w:id="9" w:name="_Toc306980554"/>
      <w:r w:rsidRPr="00C65B00">
        <w:rPr>
          <w:lang w:eastAsia="is-IS"/>
        </w:rPr>
        <w:lastRenderedPageBreak/>
        <w:t>Inngangur</w:t>
      </w:r>
      <w:bookmarkEnd w:id="9"/>
    </w:p>
    <w:p w:rsidR="005372C9" w:rsidRPr="00E018DF" w:rsidRDefault="00C22A90" w:rsidP="0070277E">
      <w:pPr>
        <w:spacing w:before="240"/>
        <w:rPr>
          <w:rFonts w:cs="Times New Roman"/>
          <w:u w:val="none"/>
        </w:rPr>
      </w:pPr>
      <w:r w:rsidRPr="00E018DF">
        <w:rPr>
          <w:rFonts w:cs="Times New Roman"/>
          <w:u w:val="none"/>
          <w:lang w:eastAsia="is-IS"/>
        </w:rPr>
        <w:t>Skýrsla þessi er umhverfisskýrsla samkvæmt lögum nr. 105/2006 um umhverfismat áætlana og fylgir tillögu að breytingu á deiliskipulagi hafnarsvæðis í Krossanesi dagsett</w:t>
      </w:r>
      <w:r w:rsidR="00C25BC1" w:rsidRPr="00E018DF">
        <w:rPr>
          <w:rFonts w:cs="Times New Roman"/>
          <w:u w:val="none"/>
          <w:lang w:eastAsia="is-IS"/>
        </w:rPr>
        <w:t xml:space="preserve"> 2</w:t>
      </w:r>
      <w:r w:rsidR="00FD7DFE">
        <w:rPr>
          <w:rFonts w:cs="Times New Roman"/>
          <w:u w:val="none"/>
          <w:lang w:eastAsia="is-IS"/>
        </w:rPr>
        <w:t>7</w:t>
      </w:r>
      <w:r w:rsidR="00C25BC1" w:rsidRPr="00E018DF">
        <w:rPr>
          <w:rFonts w:cs="Times New Roman"/>
          <w:u w:val="none"/>
          <w:lang w:eastAsia="is-IS"/>
        </w:rPr>
        <w:t xml:space="preserve">. </w:t>
      </w:r>
      <w:r w:rsidR="00FD7DFE">
        <w:rPr>
          <w:rFonts w:cs="Times New Roman"/>
          <w:u w:val="none"/>
          <w:lang w:eastAsia="is-IS"/>
        </w:rPr>
        <w:t>október,</w:t>
      </w:r>
      <w:r w:rsidR="00C25BC1" w:rsidRPr="00E018DF">
        <w:rPr>
          <w:rFonts w:cs="Times New Roman"/>
          <w:u w:val="none"/>
          <w:lang w:eastAsia="is-IS"/>
        </w:rPr>
        <w:t xml:space="preserve"> 2011</w:t>
      </w:r>
      <w:r w:rsidRPr="00E018DF">
        <w:rPr>
          <w:rFonts w:cs="Times New Roman"/>
          <w:u w:val="none"/>
          <w:lang w:eastAsia="is-IS"/>
        </w:rPr>
        <w:t>.</w:t>
      </w:r>
      <w:r w:rsidR="00E414C8" w:rsidRPr="00E018DF">
        <w:rPr>
          <w:rFonts w:cs="Times New Roman"/>
          <w:u w:val="none"/>
          <w:lang w:eastAsia="is-IS"/>
        </w:rPr>
        <w:t xml:space="preserve"> </w:t>
      </w:r>
      <w:r w:rsidR="00E414C8" w:rsidRPr="00E018DF">
        <w:rPr>
          <w:rFonts w:cs="Times New Roman"/>
          <w:u w:val="none"/>
        </w:rPr>
        <w:t xml:space="preserve">Breytingin markar stefnu er varðar leyfisveitingar til stækkunar </w:t>
      </w:r>
      <w:r w:rsidR="00E018DF" w:rsidRPr="00E018DF">
        <w:rPr>
          <w:rFonts w:cs="Times New Roman"/>
          <w:u w:val="none"/>
        </w:rPr>
        <w:t>aflþynnu</w:t>
      </w:r>
      <w:r w:rsidR="00E414C8" w:rsidRPr="00E018DF">
        <w:rPr>
          <w:rFonts w:cs="Times New Roman"/>
          <w:u w:val="none"/>
        </w:rPr>
        <w:t xml:space="preserve">verksmiðju </w:t>
      </w:r>
      <w:proofErr w:type="spellStart"/>
      <w:r w:rsidR="00E414C8" w:rsidRPr="00E018DF">
        <w:rPr>
          <w:rFonts w:cs="Times New Roman"/>
          <w:u w:val="none"/>
        </w:rPr>
        <w:t>Becromal</w:t>
      </w:r>
      <w:proofErr w:type="spellEnd"/>
      <w:r w:rsidR="00E414C8" w:rsidRPr="00E018DF">
        <w:rPr>
          <w:rFonts w:cs="Times New Roman"/>
          <w:u w:val="none"/>
        </w:rPr>
        <w:t xml:space="preserve"> sem er tilkynningarskyld til Skipulagsstofnunar skv. </w:t>
      </w:r>
      <w:proofErr w:type="spellStart"/>
      <w:r w:rsidR="00E414C8" w:rsidRPr="00E018DF">
        <w:rPr>
          <w:rFonts w:cs="Times New Roman"/>
          <w:u w:val="none"/>
        </w:rPr>
        <w:t>tl</w:t>
      </w:r>
      <w:proofErr w:type="spellEnd"/>
      <w:r w:rsidR="00E414C8" w:rsidRPr="00E018DF">
        <w:rPr>
          <w:rFonts w:cs="Times New Roman"/>
          <w:u w:val="none"/>
        </w:rPr>
        <w:t>.</w:t>
      </w:r>
      <w:r w:rsidR="005372C9" w:rsidRPr="00E018DF">
        <w:rPr>
          <w:rFonts w:cs="Times New Roman"/>
          <w:u w:val="none"/>
        </w:rPr>
        <w:t xml:space="preserve"> </w:t>
      </w:r>
      <w:r w:rsidR="00E414C8" w:rsidRPr="00E018DF">
        <w:rPr>
          <w:rFonts w:cs="Times New Roman"/>
          <w:u w:val="none"/>
        </w:rPr>
        <w:t>13a í 2. viðauka laga um mat á umhverfisáhrifum nr</w:t>
      </w:r>
      <w:r w:rsidR="00FD7DFE">
        <w:rPr>
          <w:rFonts w:cs="Times New Roman"/>
          <w:u w:val="none"/>
        </w:rPr>
        <w:t>.</w:t>
      </w:r>
      <w:r w:rsidR="00E414C8" w:rsidRPr="00E018DF">
        <w:rPr>
          <w:rFonts w:cs="Times New Roman"/>
          <w:u w:val="none"/>
        </w:rPr>
        <w:t xml:space="preserve"> 106/2000.</w:t>
      </w:r>
    </w:p>
    <w:p w:rsidR="00F65D41" w:rsidRPr="00E018DF" w:rsidRDefault="0026046B" w:rsidP="00746861">
      <w:pPr>
        <w:pStyle w:val="Heading1"/>
        <w:rPr>
          <w:lang w:eastAsia="is-IS"/>
        </w:rPr>
      </w:pPr>
      <w:r w:rsidRPr="00C65B00">
        <w:rPr>
          <w:lang w:eastAsia="is-IS"/>
        </w:rPr>
        <w:t>Efni</w:t>
      </w:r>
      <w:r w:rsidRPr="00E018DF">
        <w:rPr>
          <w:lang w:eastAsia="is-IS"/>
        </w:rPr>
        <w:t xml:space="preserve"> </w:t>
      </w:r>
      <w:r w:rsidRPr="00C65B00">
        <w:rPr>
          <w:lang w:eastAsia="is-IS"/>
        </w:rPr>
        <w:t>áætlunar</w:t>
      </w:r>
    </w:p>
    <w:p w:rsidR="00BA487C" w:rsidRPr="00E018DF" w:rsidRDefault="00C22A90" w:rsidP="0070277E">
      <w:pPr>
        <w:spacing w:before="240"/>
        <w:rPr>
          <w:rFonts w:cs="Times New Roman"/>
          <w:u w:val="none"/>
        </w:rPr>
      </w:pPr>
      <w:r w:rsidRPr="00E018DF">
        <w:rPr>
          <w:rFonts w:cs="Times New Roman"/>
          <w:u w:val="none"/>
        </w:rPr>
        <w:t xml:space="preserve">Breytingin lýtur að stækkun lóðar og byggingarreits á lóð aflþynnuverksmiðjunnar Krossanesi 4 og </w:t>
      </w:r>
      <w:r w:rsidR="007144B5" w:rsidRPr="00E018DF">
        <w:rPr>
          <w:rFonts w:cs="Times New Roman"/>
          <w:u w:val="none"/>
        </w:rPr>
        <w:t xml:space="preserve">lítilsháttar </w:t>
      </w:r>
      <w:r w:rsidR="004455C7" w:rsidRPr="00E018DF">
        <w:rPr>
          <w:rFonts w:cs="Times New Roman"/>
          <w:u w:val="none"/>
        </w:rPr>
        <w:t xml:space="preserve">hliðrun </w:t>
      </w:r>
      <w:r w:rsidRPr="00E018DF">
        <w:rPr>
          <w:rFonts w:cs="Times New Roman"/>
          <w:u w:val="none"/>
        </w:rPr>
        <w:t>á veglínu Krossanesbrautar til vesturs</w:t>
      </w:r>
      <w:r w:rsidR="0031474E" w:rsidRPr="00E018DF">
        <w:rPr>
          <w:rFonts w:cs="Times New Roman"/>
          <w:u w:val="none"/>
        </w:rPr>
        <w:t xml:space="preserve">, ekki er um nýframkvæmd að ræða. </w:t>
      </w:r>
      <w:r w:rsidR="00DC7297" w:rsidRPr="00E018DF">
        <w:rPr>
          <w:rFonts w:cs="Times New Roman"/>
          <w:u w:val="none"/>
        </w:rPr>
        <w:t xml:space="preserve">Auk þess er gert ráð fyrir að </w:t>
      </w:r>
      <w:r w:rsidR="00081424" w:rsidRPr="00E018DF">
        <w:rPr>
          <w:rFonts w:cs="Times New Roman"/>
          <w:u w:val="none"/>
        </w:rPr>
        <w:t>grjótgarður syðst á skipulagssvæðinu verði hluti af lóð aflþynnuverksmiðjunnar í stað þess að vera á yfirráðasvæði hafnarinnar</w:t>
      </w:r>
      <w:r w:rsidR="00E71F42" w:rsidRPr="00E018DF">
        <w:rPr>
          <w:rFonts w:cs="Times New Roman"/>
          <w:u w:val="none"/>
        </w:rPr>
        <w:t xml:space="preserve"> en þó þannig að kvöð verði um gönguleið um svæðið</w:t>
      </w:r>
      <w:r w:rsidR="00DC7297" w:rsidRPr="00E018DF">
        <w:rPr>
          <w:rFonts w:cs="Times New Roman"/>
          <w:u w:val="none"/>
        </w:rPr>
        <w:t xml:space="preserve">. </w:t>
      </w:r>
      <w:r w:rsidRPr="00E018DF">
        <w:rPr>
          <w:rFonts w:cs="Times New Roman"/>
          <w:u w:val="none"/>
        </w:rPr>
        <w:t>Meginmarkmið breytingarinnar er stækkun aflþynnuverksmiðjunnar í Krossanesi</w:t>
      </w:r>
      <w:r w:rsidR="00081424" w:rsidRPr="00E018DF">
        <w:rPr>
          <w:rFonts w:cs="Times New Roman"/>
          <w:u w:val="none"/>
        </w:rPr>
        <w:t>.</w:t>
      </w:r>
      <w:r w:rsidR="00075260" w:rsidRPr="00E018DF">
        <w:rPr>
          <w:rFonts w:cs="Times New Roman"/>
          <w:u w:val="none"/>
        </w:rPr>
        <w:t xml:space="preserve"> Framleiðsla verksmiðjunnar fer nú fram í alls 60 vélasamstæðum</w:t>
      </w:r>
      <w:r w:rsidR="00506D47" w:rsidRPr="00E018DF">
        <w:rPr>
          <w:rFonts w:cs="Times New Roman"/>
          <w:u w:val="none"/>
        </w:rPr>
        <w:t xml:space="preserve"> </w:t>
      </w:r>
      <w:r w:rsidR="00075260" w:rsidRPr="00E018DF">
        <w:rPr>
          <w:rFonts w:cs="Times New Roman"/>
          <w:u w:val="none"/>
        </w:rPr>
        <w:t>og er ársframleiðsla hennar nú um 8</w:t>
      </w:r>
      <w:r w:rsidR="005372C9" w:rsidRPr="00E018DF">
        <w:rPr>
          <w:rFonts w:cs="Times New Roman"/>
          <w:u w:val="none"/>
        </w:rPr>
        <w:t>,5 milljón</w:t>
      </w:r>
      <w:r w:rsidR="00075260" w:rsidRPr="00E018DF">
        <w:rPr>
          <w:rFonts w:cs="Times New Roman"/>
          <w:u w:val="none"/>
        </w:rPr>
        <w:t xml:space="preserve"> m</w:t>
      </w:r>
      <w:r w:rsidR="00075260" w:rsidRPr="00E018DF">
        <w:rPr>
          <w:rFonts w:cs="Times New Roman"/>
          <w:u w:val="none"/>
          <w:vertAlign w:val="superscript"/>
        </w:rPr>
        <w:t>2</w:t>
      </w:r>
      <w:r w:rsidR="00506D47" w:rsidRPr="00E018DF">
        <w:rPr>
          <w:rFonts w:cs="Times New Roman"/>
          <w:u w:val="none"/>
        </w:rPr>
        <w:t>.</w:t>
      </w:r>
      <w:r w:rsidR="00075260" w:rsidRPr="00E018DF">
        <w:rPr>
          <w:rFonts w:cs="Times New Roman"/>
          <w:u w:val="none"/>
        </w:rPr>
        <w:t xml:space="preserve"> Hámarks afköst verksmiðjunnar skv. </w:t>
      </w:r>
      <w:r w:rsidR="005372C9" w:rsidRPr="00E018DF">
        <w:rPr>
          <w:rFonts w:cs="Times New Roman"/>
          <w:u w:val="none"/>
        </w:rPr>
        <w:t>starfsleyfi er 10,</w:t>
      </w:r>
      <w:r w:rsidR="00075260" w:rsidRPr="00E018DF">
        <w:rPr>
          <w:rFonts w:cs="Times New Roman"/>
          <w:u w:val="none"/>
        </w:rPr>
        <w:t xml:space="preserve">8 milljón m² </w:t>
      </w:r>
      <w:r w:rsidR="00506D47" w:rsidRPr="00E018DF">
        <w:rPr>
          <w:rFonts w:cs="Times New Roman"/>
          <w:u w:val="none"/>
        </w:rPr>
        <w:t>aflþynna</w:t>
      </w:r>
      <w:r w:rsidR="00075260" w:rsidRPr="00E018DF">
        <w:rPr>
          <w:rFonts w:cs="Times New Roman"/>
          <w:u w:val="none"/>
        </w:rPr>
        <w:t xml:space="preserve"> á ári</w:t>
      </w:r>
      <w:r w:rsidR="00506D47" w:rsidRPr="00E018DF">
        <w:rPr>
          <w:rFonts w:cs="Times New Roman"/>
          <w:u w:val="none"/>
        </w:rPr>
        <w:t xml:space="preserve"> (sem miðast við 64 vélasamstæður)</w:t>
      </w:r>
      <w:r w:rsidR="00075260" w:rsidRPr="00E018DF">
        <w:rPr>
          <w:rFonts w:cs="Times New Roman"/>
          <w:u w:val="none"/>
        </w:rPr>
        <w:t>.</w:t>
      </w:r>
      <w:r w:rsidR="007A1041" w:rsidRPr="00E018DF">
        <w:rPr>
          <w:rFonts w:cs="Times New Roman"/>
          <w:u w:val="none"/>
        </w:rPr>
        <w:t xml:space="preserve"> Áætlað er að stækka verksmiðjuna í 2 áföngum um </w:t>
      </w:r>
      <w:r w:rsidR="00075260" w:rsidRPr="00E018DF">
        <w:rPr>
          <w:rFonts w:cs="Times New Roman"/>
          <w:u w:val="none"/>
        </w:rPr>
        <w:t>15</w:t>
      </w:r>
      <w:r w:rsidR="007A1041" w:rsidRPr="00E018DF">
        <w:rPr>
          <w:rFonts w:cs="Times New Roman"/>
          <w:u w:val="none"/>
        </w:rPr>
        <w:t xml:space="preserve"> vélasamstæður</w:t>
      </w:r>
      <w:r w:rsidR="00075260" w:rsidRPr="00E018DF">
        <w:rPr>
          <w:rFonts w:cs="Times New Roman"/>
          <w:u w:val="none"/>
        </w:rPr>
        <w:t xml:space="preserve"> í hvorum áfanga, alls 30 vélasamstæður</w:t>
      </w:r>
      <w:r w:rsidR="007A1041" w:rsidRPr="00E018DF">
        <w:rPr>
          <w:rFonts w:cs="Times New Roman"/>
          <w:u w:val="none"/>
        </w:rPr>
        <w:t>. Við lok hvors áfanga um sig eykst framleiðslugeta verksmiðjunnar um 3</w:t>
      </w:r>
      <w:r w:rsidR="005372C9" w:rsidRPr="00E018DF">
        <w:rPr>
          <w:rFonts w:cs="Times New Roman"/>
          <w:u w:val="none"/>
        </w:rPr>
        <w:t xml:space="preserve"> millj</w:t>
      </w:r>
      <w:r w:rsidR="00506D47" w:rsidRPr="00E018DF">
        <w:rPr>
          <w:rFonts w:cs="Times New Roman"/>
          <w:u w:val="none"/>
        </w:rPr>
        <w:t>ó</w:t>
      </w:r>
      <w:r w:rsidR="005372C9" w:rsidRPr="00E018DF">
        <w:rPr>
          <w:rFonts w:cs="Times New Roman"/>
          <w:u w:val="none"/>
        </w:rPr>
        <w:t>n</w:t>
      </w:r>
      <w:r w:rsidR="007A1041" w:rsidRPr="00E018DF">
        <w:rPr>
          <w:rFonts w:cs="Times New Roman"/>
          <w:u w:val="none"/>
        </w:rPr>
        <w:t xml:space="preserve"> </w:t>
      </w:r>
      <w:r w:rsidR="007A1041" w:rsidRPr="00E72305">
        <w:rPr>
          <w:rFonts w:cs="Times New Roman"/>
          <w:u w:val="none"/>
        </w:rPr>
        <w:t>m</w:t>
      </w:r>
      <w:r w:rsidR="007A1041" w:rsidRPr="00E72305">
        <w:rPr>
          <w:rFonts w:cs="Times New Roman"/>
          <w:u w:val="none"/>
          <w:vertAlign w:val="superscript"/>
        </w:rPr>
        <w:t>2</w:t>
      </w:r>
      <w:r w:rsidR="00E72305">
        <w:rPr>
          <w:rFonts w:cs="Times New Roman"/>
          <w:u w:val="none"/>
        </w:rPr>
        <w:t xml:space="preserve"> </w:t>
      </w:r>
      <w:r w:rsidR="007A1041" w:rsidRPr="00E72305">
        <w:rPr>
          <w:rFonts w:cs="Times New Roman"/>
          <w:u w:val="none"/>
        </w:rPr>
        <w:t>af</w:t>
      </w:r>
      <w:r w:rsidR="007A1041" w:rsidRPr="00E018DF">
        <w:rPr>
          <w:rFonts w:cs="Times New Roman"/>
          <w:u w:val="none"/>
        </w:rPr>
        <w:t xml:space="preserve"> aflþynnum </w:t>
      </w:r>
      <w:r w:rsidR="00506D47" w:rsidRPr="00E018DF">
        <w:rPr>
          <w:rFonts w:cs="Times New Roman"/>
          <w:u w:val="none"/>
        </w:rPr>
        <w:t>á ári og</w:t>
      </w:r>
      <w:r w:rsidR="007A1041" w:rsidRPr="00E018DF">
        <w:rPr>
          <w:rFonts w:cs="Times New Roman"/>
          <w:u w:val="none"/>
        </w:rPr>
        <w:t xml:space="preserve"> alls um 6</w:t>
      </w:r>
      <w:r w:rsidR="005372C9" w:rsidRPr="00E018DF">
        <w:rPr>
          <w:rFonts w:cs="Times New Roman"/>
          <w:u w:val="none"/>
        </w:rPr>
        <w:t xml:space="preserve"> milljón</w:t>
      </w:r>
      <w:r w:rsidR="007A1041" w:rsidRPr="00E018DF">
        <w:rPr>
          <w:rFonts w:cs="Times New Roman"/>
          <w:u w:val="none"/>
        </w:rPr>
        <w:t xml:space="preserve"> m</w:t>
      </w:r>
      <w:r w:rsidR="007A1041" w:rsidRPr="00E018DF">
        <w:rPr>
          <w:rFonts w:cs="Times New Roman"/>
          <w:u w:val="none"/>
          <w:vertAlign w:val="superscript"/>
        </w:rPr>
        <w:t>2</w:t>
      </w:r>
      <w:r w:rsidR="00506D47" w:rsidRPr="00E018DF">
        <w:rPr>
          <w:rFonts w:cs="Times New Roman"/>
          <w:u w:val="none"/>
          <w:vertAlign w:val="superscript"/>
        </w:rPr>
        <w:t xml:space="preserve"> </w:t>
      </w:r>
      <w:r w:rsidR="00506D47" w:rsidRPr="00E018DF">
        <w:rPr>
          <w:rFonts w:cs="Times New Roman"/>
          <w:u w:val="none"/>
        </w:rPr>
        <w:t xml:space="preserve">á ári fyrir báða áfanga. </w:t>
      </w:r>
      <w:r w:rsidR="00075260" w:rsidRPr="00E018DF">
        <w:rPr>
          <w:rFonts w:cs="Times New Roman"/>
          <w:u w:val="none"/>
        </w:rPr>
        <w:t>Hámarks afköst verksmiðjunnar munu verða 16,</w:t>
      </w:r>
      <w:r w:rsidR="00506D47" w:rsidRPr="00E018DF">
        <w:rPr>
          <w:rFonts w:cs="Times New Roman"/>
          <w:u w:val="none"/>
        </w:rPr>
        <w:t>8</w:t>
      </w:r>
      <w:r w:rsidR="00075260" w:rsidRPr="00E018DF">
        <w:rPr>
          <w:rFonts w:cs="Times New Roman"/>
          <w:u w:val="none"/>
        </w:rPr>
        <w:t xml:space="preserve"> milljón m</w:t>
      </w:r>
      <w:r w:rsidR="00075260" w:rsidRPr="00E018DF">
        <w:rPr>
          <w:rFonts w:cs="Times New Roman"/>
          <w:u w:val="none"/>
          <w:vertAlign w:val="superscript"/>
        </w:rPr>
        <w:t>2</w:t>
      </w:r>
      <w:r w:rsidR="00506D47" w:rsidRPr="00E018DF">
        <w:rPr>
          <w:rFonts w:cs="Times New Roman"/>
          <w:u w:val="none"/>
        </w:rPr>
        <w:t xml:space="preserve"> á ári. </w:t>
      </w:r>
    </w:p>
    <w:p w:rsidR="00C66C65" w:rsidRPr="00E018DF" w:rsidRDefault="00C66C65" w:rsidP="0070277E">
      <w:pPr>
        <w:spacing w:before="240"/>
        <w:rPr>
          <w:rFonts w:cs="Times New Roman"/>
          <w:u w:val="none"/>
        </w:rPr>
      </w:pPr>
      <w:r w:rsidRPr="00E018DF">
        <w:rPr>
          <w:rFonts w:cs="Times New Roman"/>
          <w:u w:val="none"/>
        </w:rPr>
        <w:t xml:space="preserve">Í tengslum við stækkun verksmiðjunnar mun </w:t>
      </w:r>
      <w:r w:rsidR="00011F51" w:rsidRPr="00E018DF">
        <w:rPr>
          <w:rFonts w:cs="Times New Roman"/>
          <w:u w:val="none"/>
        </w:rPr>
        <w:t>h</w:t>
      </w:r>
      <w:r w:rsidRPr="00E018DF">
        <w:rPr>
          <w:rFonts w:cs="Times New Roman"/>
          <w:u w:val="none"/>
        </w:rPr>
        <w:t>úsakostur og útisvæði spennistöðvar, sem sér aflþynnuverksmiðjunni fyrir orku, stækka</w:t>
      </w:r>
      <w:r w:rsidR="009A28E0" w:rsidRPr="00E018DF">
        <w:rPr>
          <w:rFonts w:cs="Times New Roman"/>
          <w:u w:val="none"/>
        </w:rPr>
        <w:t xml:space="preserve">. Ekki er </w:t>
      </w:r>
      <w:r w:rsidR="00C06952" w:rsidRPr="00E018DF">
        <w:rPr>
          <w:rFonts w:cs="Times New Roman"/>
          <w:u w:val="none"/>
        </w:rPr>
        <w:t>nauðsynlegt að fjölga</w:t>
      </w:r>
      <w:r w:rsidR="00F65D41" w:rsidRPr="00E018DF">
        <w:rPr>
          <w:rFonts w:cs="Times New Roman"/>
          <w:u w:val="none"/>
        </w:rPr>
        <w:t xml:space="preserve"> háspennu</w:t>
      </w:r>
      <w:r w:rsidR="00E72305">
        <w:rPr>
          <w:rFonts w:cs="Times New Roman"/>
          <w:u w:val="none"/>
        </w:rPr>
        <w:t>strengjum</w:t>
      </w:r>
      <w:r w:rsidR="009A28E0" w:rsidRPr="00E018DF">
        <w:rPr>
          <w:rFonts w:cs="Times New Roman"/>
          <w:u w:val="none"/>
        </w:rPr>
        <w:t xml:space="preserve"> vegna stækkunar aflþynnuverksmiðjunnar </w:t>
      </w:r>
      <w:r w:rsidR="00C06952" w:rsidRPr="00E018DF">
        <w:rPr>
          <w:rFonts w:cs="Times New Roman"/>
          <w:u w:val="none"/>
        </w:rPr>
        <w:t>og aflau</w:t>
      </w:r>
      <w:r w:rsidR="00E72305">
        <w:rPr>
          <w:rFonts w:cs="Times New Roman"/>
          <w:u w:val="none"/>
        </w:rPr>
        <w:t>kningar.</w:t>
      </w:r>
      <w:r w:rsidR="00C06952" w:rsidRPr="00E018DF">
        <w:rPr>
          <w:rFonts w:cs="Times New Roman"/>
          <w:u w:val="none"/>
        </w:rPr>
        <w:t xml:space="preserve"> </w:t>
      </w:r>
      <w:r w:rsidR="00E72305">
        <w:rPr>
          <w:rFonts w:cs="Times New Roman"/>
          <w:u w:val="none"/>
        </w:rPr>
        <w:t>Í</w:t>
      </w:r>
      <w:r w:rsidR="009A28E0" w:rsidRPr="00E018DF">
        <w:rPr>
          <w:rFonts w:cs="Times New Roman"/>
          <w:u w:val="none"/>
        </w:rPr>
        <w:t xml:space="preserve"> náinni framtíð </w:t>
      </w:r>
      <w:r w:rsidR="00E72305">
        <w:rPr>
          <w:rFonts w:cs="Times New Roman"/>
          <w:u w:val="none"/>
        </w:rPr>
        <w:t xml:space="preserve">er þó áætlað að </w:t>
      </w:r>
      <w:r w:rsidR="009A28E0" w:rsidRPr="00E018DF">
        <w:rPr>
          <w:rFonts w:cs="Times New Roman"/>
          <w:u w:val="none"/>
        </w:rPr>
        <w:t>lagður</w:t>
      </w:r>
      <w:r w:rsidR="00E72305">
        <w:rPr>
          <w:rFonts w:cs="Times New Roman"/>
          <w:u w:val="none"/>
        </w:rPr>
        <w:t xml:space="preserve"> verði</w:t>
      </w:r>
      <w:r w:rsidR="009A28E0" w:rsidRPr="00E018DF">
        <w:rPr>
          <w:rFonts w:cs="Times New Roman"/>
          <w:u w:val="none"/>
        </w:rPr>
        <w:t xml:space="preserve"> 132 </w:t>
      </w:r>
      <w:proofErr w:type="spellStart"/>
      <w:r w:rsidR="009A28E0" w:rsidRPr="00E018DF">
        <w:rPr>
          <w:rFonts w:cs="Times New Roman"/>
          <w:u w:val="none"/>
        </w:rPr>
        <w:t>kV</w:t>
      </w:r>
      <w:proofErr w:type="spellEnd"/>
      <w:r w:rsidR="009A28E0" w:rsidRPr="00E018DF">
        <w:rPr>
          <w:rFonts w:cs="Times New Roman"/>
          <w:u w:val="none"/>
        </w:rPr>
        <w:t xml:space="preserve"> jarðstrengur frá Rangárvöllum að verksmiðjunni, samhliða núver</w:t>
      </w:r>
      <w:r w:rsidR="00E018DF">
        <w:rPr>
          <w:rFonts w:cs="Times New Roman"/>
          <w:u w:val="none"/>
        </w:rPr>
        <w:t>a</w:t>
      </w:r>
      <w:r w:rsidR="009A28E0" w:rsidRPr="00E018DF">
        <w:rPr>
          <w:rFonts w:cs="Times New Roman"/>
          <w:u w:val="none"/>
        </w:rPr>
        <w:t xml:space="preserve">ndi streng, til að auka rekstraröryggi hennar. </w:t>
      </w:r>
      <w:r w:rsidR="00510FD6" w:rsidRPr="00E018DF">
        <w:rPr>
          <w:rFonts w:cs="Times New Roman"/>
          <w:u w:val="none"/>
        </w:rPr>
        <w:t xml:space="preserve">Stækkun verksmiðjunnar eykur líkur á að farið verði í lagningu þessa viðbótar jarðstrengs. </w:t>
      </w:r>
    </w:p>
    <w:p w:rsidR="00C22A90" w:rsidRPr="00E018DF" w:rsidRDefault="00C22A90" w:rsidP="00B82B0F">
      <w:pPr>
        <w:pStyle w:val="Heading1"/>
      </w:pPr>
      <w:bookmarkStart w:id="10" w:name="_Toc306980555"/>
      <w:r w:rsidRPr="00E018DF">
        <w:rPr>
          <w:lang w:eastAsia="is-IS"/>
        </w:rPr>
        <w:t>Tengsl</w:t>
      </w:r>
      <w:r w:rsidRPr="00E018DF">
        <w:t xml:space="preserve"> við aðra</w:t>
      </w:r>
      <w:r w:rsidRPr="00C65B00">
        <w:t>r</w:t>
      </w:r>
      <w:r w:rsidRPr="00E018DF">
        <w:t xml:space="preserve"> áætlanir</w:t>
      </w:r>
      <w:bookmarkEnd w:id="10"/>
    </w:p>
    <w:p w:rsidR="00C22A90" w:rsidRPr="00E018DF" w:rsidRDefault="00C22A90" w:rsidP="00C22A90">
      <w:pPr>
        <w:spacing w:before="60"/>
        <w:rPr>
          <w:rFonts w:cs="Times New Roman"/>
          <w:u w:val="none"/>
        </w:rPr>
      </w:pPr>
      <w:r w:rsidRPr="00E018DF">
        <w:rPr>
          <w:rFonts w:cs="Times New Roman"/>
          <w:u w:val="none"/>
        </w:rPr>
        <w:t>Breytingin er í samræmi við aðalskipulag Akureyrarbæjar 2005-2018.</w:t>
      </w:r>
    </w:p>
    <w:p w:rsidR="00FD51E1" w:rsidRPr="00E018DF" w:rsidRDefault="00FD51E1" w:rsidP="00C22A90">
      <w:pPr>
        <w:spacing w:before="60"/>
        <w:rPr>
          <w:rFonts w:cs="Times New Roman"/>
          <w:u w:val="none"/>
        </w:rPr>
      </w:pPr>
      <w:r w:rsidRPr="00E018DF">
        <w:rPr>
          <w:rFonts w:cs="Times New Roman"/>
          <w:u w:val="none"/>
        </w:rPr>
        <w:t>Breytingin hefur áhrif á deiliskipulag í Krossaneshaga, B áfanga</w:t>
      </w:r>
      <w:r w:rsidR="00E71F42" w:rsidRPr="00E018DF">
        <w:rPr>
          <w:rFonts w:cs="Times New Roman"/>
          <w:u w:val="none"/>
        </w:rPr>
        <w:t xml:space="preserve"> vegna skörunar</w:t>
      </w:r>
      <w:r w:rsidRPr="00E018DF">
        <w:rPr>
          <w:rFonts w:cs="Times New Roman"/>
          <w:u w:val="none"/>
        </w:rPr>
        <w:t xml:space="preserve">. Minnka þarf deiliskipulagssvæðið meðfram Krossanesbraut og fella úr gildi. Á því svæði er skilgreint opið óbyggt svæði. Breyting á deiliskipulagi í Krossaneshaga, B áfanga verður auglýst samhliða deiliskipulagsbreytingu í Krossanesi. </w:t>
      </w:r>
    </w:p>
    <w:p w:rsidR="00C22A90" w:rsidRPr="00E018DF" w:rsidRDefault="00C22A90" w:rsidP="00B82B0F">
      <w:pPr>
        <w:pStyle w:val="Heading1"/>
      </w:pPr>
      <w:bookmarkStart w:id="11" w:name="_Toc306980556"/>
      <w:r w:rsidRPr="00E018DF">
        <w:t>Umhverfismat</w:t>
      </w:r>
      <w:bookmarkEnd w:id="11"/>
    </w:p>
    <w:p w:rsidR="004455C7" w:rsidRPr="00E018DF" w:rsidRDefault="00C22A90" w:rsidP="004455C7">
      <w:pPr>
        <w:autoSpaceDE w:val="0"/>
        <w:autoSpaceDN w:val="0"/>
        <w:adjustRightInd w:val="0"/>
        <w:spacing w:before="60"/>
        <w:rPr>
          <w:rFonts w:cs="Times New Roman"/>
          <w:u w:val="none"/>
        </w:rPr>
      </w:pPr>
      <w:r w:rsidRPr="00E018DF">
        <w:rPr>
          <w:rFonts w:cs="Times New Roman"/>
          <w:u w:val="none"/>
          <w:lang w:eastAsia="is-IS"/>
        </w:rPr>
        <w:t>Umhverfismatið er unnið af verkfræðistofunni EFLU. Stuðst var við leiðbeiningar Skipulagsstofnunar, annars vegar um umhverfismat áætlana og hins vegar um flokkun umhverfisþátta, viðmið, einkenni og vægi umhverfisáhrifa. Umhverfismatið byggir á fyrirliggjandi upplýsingum um grunnástand umhverfis, umhverfisskýrslu deiliskipulagsins frá 2. apríl 2008 og tilkynningu framkvæmdar til Skipulagsstofnunar sem er í vinnslu hjá verkfræðistofunni EFLU.</w:t>
      </w:r>
      <w:r w:rsidR="004455C7" w:rsidRPr="00E018DF">
        <w:rPr>
          <w:rFonts w:cs="Times New Roman"/>
          <w:u w:val="none"/>
        </w:rPr>
        <w:t xml:space="preserve"> Mismunandi valkostir eru ekki til samanburðar í þessu umhverfismati.</w:t>
      </w:r>
    </w:p>
    <w:p w:rsidR="00C22A90" w:rsidRPr="00E018DF" w:rsidRDefault="00C22A90" w:rsidP="00C22A90">
      <w:pPr>
        <w:spacing w:before="60"/>
        <w:rPr>
          <w:rFonts w:cs="Times New Roman"/>
          <w:u w:val="none"/>
        </w:rPr>
      </w:pPr>
      <w:r w:rsidRPr="00E018DF">
        <w:rPr>
          <w:rFonts w:cs="Times New Roman"/>
          <w:u w:val="none"/>
        </w:rPr>
        <w:lastRenderedPageBreak/>
        <w:t>Forsendur við mat á umhverfisáhrifum byggja á tveimur meginþáttum, sem eru:</w:t>
      </w:r>
    </w:p>
    <w:p w:rsidR="00C22A90" w:rsidRPr="00E018DF" w:rsidRDefault="00C22A90" w:rsidP="00C22A90">
      <w:pPr>
        <w:numPr>
          <w:ilvl w:val="0"/>
          <w:numId w:val="1"/>
        </w:numPr>
        <w:autoSpaceDE w:val="0"/>
        <w:autoSpaceDN w:val="0"/>
        <w:adjustRightInd w:val="0"/>
        <w:spacing w:before="60" w:after="0" w:line="240" w:lineRule="auto"/>
        <w:jc w:val="both"/>
        <w:rPr>
          <w:rFonts w:cs="Times New Roman"/>
          <w:sz w:val="20"/>
          <w:szCs w:val="20"/>
          <w:u w:val="none"/>
        </w:rPr>
      </w:pPr>
      <w:r w:rsidRPr="00E018DF">
        <w:rPr>
          <w:rFonts w:cs="Times New Roman"/>
          <w:sz w:val="20"/>
          <w:szCs w:val="20"/>
          <w:u w:val="none"/>
        </w:rPr>
        <w:t>Viðmið í lögum og reglugerðum, stefnumótun stjórnvalda og skuldbindingar á alþjóðavísu, sjá töflu 2.</w:t>
      </w:r>
    </w:p>
    <w:p w:rsidR="00C22A90" w:rsidRPr="00E018DF" w:rsidRDefault="00C22A90" w:rsidP="00C22A90">
      <w:pPr>
        <w:numPr>
          <w:ilvl w:val="0"/>
          <w:numId w:val="1"/>
        </w:numPr>
        <w:autoSpaceDE w:val="0"/>
        <w:autoSpaceDN w:val="0"/>
        <w:adjustRightInd w:val="0"/>
        <w:spacing w:before="60" w:after="0" w:line="240" w:lineRule="auto"/>
        <w:jc w:val="both"/>
        <w:rPr>
          <w:rFonts w:cs="Times New Roman"/>
          <w:sz w:val="20"/>
          <w:szCs w:val="20"/>
          <w:u w:val="none"/>
        </w:rPr>
      </w:pPr>
      <w:r w:rsidRPr="00E018DF">
        <w:rPr>
          <w:rFonts w:cs="Times New Roman"/>
          <w:sz w:val="20"/>
          <w:szCs w:val="20"/>
          <w:u w:val="none"/>
        </w:rPr>
        <w:t>Greining sérfræðinga á einkennum og vægi áhrifa á einstaka umhverfisþætti á áhrifasvæði.</w:t>
      </w:r>
    </w:p>
    <w:p w:rsidR="00C22A90" w:rsidRPr="00E018DF" w:rsidRDefault="00C22A90" w:rsidP="00540B6B">
      <w:pPr>
        <w:pStyle w:val="Heading1"/>
      </w:pPr>
      <w:bookmarkStart w:id="12" w:name="_Toc306980557"/>
      <w:r w:rsidRPr="00E018DF">
        <w:t>Skilgreining á vægi áhrifa</w:t>
      </w:r>
      <w:bookmarkEnd w:id="12"/>
    </w:p>
    <w:p w:rsidR="00E9645B" w:rsidRPr="00E018DF" w:rsidRDefault="00C22A90" w:rsidP="00C22A90">
      <w:pPr>
        <w:spacing w:before="60"/>
        <w:rPr>
          <w:rFonts w:cs="Times New Roman"/>
          <w:u w:val="none"/>
        </w:rPr>
      </w:pPr>
      <w:r w:rsidRPr="00E018DF">
        <w:rPr>
          <w:rFonts w:cs="Times New Roman"/>
          <w:u w:val="none"/>
        </w:rPr>
        <w:t>Áhrifin eru metin og þeim gefið vægi með því að bera saman einkenni áhrifanna og viðmið sem gilda um hvern umhverfisþátt. Niðurstaða matsins er því ákveðin vægiseinkunn fyrir hvern umhverfisþátt. Við matið verður notast við þá skilgreiningu á vægi áhrifa sem fram kemur í töflu 1 hér að neðan. Taflan er í samræmi við leiðbeiningar Skipulagsstofnunar um flokkun umhverfisþátta, viðmið, einkenni og vægi áhrifa.</w:t>
      </w:r>
    </w:p>
    <w:p w:rsidR="00C22A90" w:rsidRPr="00E018DF" w:rsidRDefault="00C22A90" w:rsidP="00C22A90">
      <w:pPr>
        <w:pStyle w:val="Caption"/>
        <w:keepNext/>
        <w:spacing w:before="120" w:after="0"/>
        <w:rPr>
          <w:rFonts w:ascii="Times New Roman" w:hAnsi="Times New Roman"/>
          <w:u w:val="none"/>
        </w:rPr>
      </w:pPr>
      <w:r w:rsidRPr="00E018DF">
        <w:rPr>
          <w:rFonts w:ascii="Times New Roman" w:hAnsi="Times New Roman"/>
          <w:color w:val="auto"/>
          <w:u w:val="none"/>
        </w:rPr>
        <w:t xml:space="preserve">Tafla </w:t>
      </w:r>
      <w:r w:rsidR="0026046B" w:rsidRPr="00E018DF">
        <w:rPr>
          <w:rFonts w:ascii="Times New Roman" w:hAnsi="Times New Roman"/>
          <w:color w:val="auto"/>
          <w:u w:val="none"/>
        </w:rPr>
        <w:fldChar w:fldCharType="begin"/>
      </w:r>
      <w:r w:rsidRPr="00E018DF">
        <w:rPr>
          <w:rFonts w:ascii="Times New Roman" w:hAnsi="Times New Roman"/>
          <w:color w:val="auto"/>
          <w:u w:val="none"/>
        </w:rPr>
        <w:instrText xml:space="preserve"> SEQ Tafla \* ARABIC </w:instrText>
      </w:r>
      <w:r w:rsidR="0026046B" w:rsidRPr="00E018DF">
        <w:rPr>
          <w:rFonts w:ascii="Times New Roman" w:hAnsi="Times New Roman"/>
          <w:color w:val="auto"/>
          <w:u w:val="none"/>
        </w:rPr>
        <w:fldChar w:fldCharType="separate"/>
      </w:r>
      <w:r w:rsidR="002E0037">
        <w:rPr>
          <w:rFonts w:ascii="Times New Roman" w:hAnsi="Times New Roman"/>
          <w:noProof/>
          <w:color w:val="auto"/>
          <w:u w:val="none"/>
        </w:rPr>
        <w:t>1</w:t>
      </w:r>
      <w:r w:rsidR="0026046B" w:rsidRPr="00E018DF">
        <w:rPr>
          <w:rFonts w:ascii="Times New Roman" w:hAnsi="Times New Roman"/>
          <w:color w:val="auto"/>
          <w:u w:val="none"/>
        </w:rPr>
        <w:fldChar w:fldCharType="end"/>
      </w:r>
      <w:r w:rsidRPr="00E018DF">
        <w:rPr>
          <w:rFonts w:ascii="Times New Roman" w:hAnsi="Times New Roman"/>
          <w:color w:val="auto"/>
          <w:u w:val="none"/>
        </w:rPr>
        <w:t xml:space="preserve"> </w:t>
      </w:r>
      <w:r w:rsidRPr="00E018DF">
        <w:rPr>
          <w:rFonts w:ascii="Times New Roman" w:hAnsi="Times New Roman"/>
          <w:b w:val="0"/>
          <w:i/>
          <w:color w:val="auto"/>
          <w:u w:val="none"/>
        </w:rPr>
        <w:t xml:space="preserve">Skilgreining á vægi áhrifa við </w:t>
      </w:r>
      <w:r w:rsidR="008E6A7D" w:rsidRPr="00E018DF">
        <w:rPr>
          <w:rFonts w:ascii="Times New Roman" w:hAnsi="Times New Roman"/>
          <w:b w:val="0"/>
          <w:i/>
          <w:color w:val="auto"/>
          <w:u w:val="none"/>
        </w:rPr>
        <w:t>mat á umhverfisáhrifum vegna breytingar á deiliskipulagi</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08"/>
        <w:gridCol w:w="7063"/>
      </w:tblGrid>
      <w:tr w:rsidR="00C22A90" w:rsidRPr="00E018DF" w:rsidTr="00C22A90">
        <w:tc>
          <w:tcPr>
            <w:tcW w:w="1908" w:type="dxa"/>
            <w:tcBorders>
              <w:top w:val="single" w:sz="4" w:space="0" w:color="auto"/>
              <w:left w:val="nil"/>
              <w:bottom w:val="single" w:sz="8" w:space="0" w:color="auto"/>
              <w:right w:val="single" w:sz="4" w:space="0" w:color="auto"/>
            </w:tcBorders>
            <w:hideMark/>
          </w:tcPr>
          <w:p w:rsidR="00C22A90" w:rsidRPr="00E018DF" w:rsidRDefault="00C22A90">
            <w:pPr>
              <w:spacing w:after="60"/>
              <w:jc w:val="both"/>
              <w:rPr>
                <w:rFonts w:cs="Times New Roman"/>
                <w:b/>
                <w:sz w:val="20"/>
                <w:szCs w:val="20"/>
                <w:u w:val="none"/>
              </w:rPr>
            </w:pPr>
            <w:r w:rsidRPr="00E018DF">
              <w:rPr>
                <w:rFonts w:cs="Times New Roman"/>
                <w:b/>
                <w:sz w:val="20"/>
                <w:szCs w:val="20"/>
                <w:u w:val="none"/>
              </w:rPr>
              <w:t>Vægi áhrifa/ Vægiseinkunn</w:t>
            </w:r>
          </w:p>
        </w:tc>
        <w:tc>
          <w:tcPr>
            <w:tcW w:w="7063" w:type="dxa"/>
            <w:tcBorders>
              <w:top w:val="single" w:sz="4" w:space="0" w:color="auto"/>
              <w:left w:val="single" w:sz="4" w:space="0" w:color="auto"/>
              <w:bottom w:val="single" w:sz="8" w:space="0" w:color="auto"/>
              <w:right w:val="nil"/>
            </w:tcBorders>
            <w:hideMark/>
          </w:tcPr>
          <w:p w:rsidR="00C22A90" w:rsidRPr="00E018DF" w:rsidRDefault="00C22A90">
            <w:pPr>
              <w:spacing w:after="60"/>
              <w:jc w:val="both"/>
              <w:rPr>
                <w:rFonts w:cs="Times New Roman"/>
                <w:b/>
                <w:sz w:val="20"/>
                <w:szCs w:val="20"/>
                <w:u w:val="none"/>
              </w:rPr>
            </w:pPr>
            <w:r w:rsidRPr="00E018DF">
              <w:rPr>
                <w:rFonts w:cs="Times New Roman"/>
                <w:b/>
                <w:sz w:val="20"/>
                <w:szCs w:val="20"/>
                <w:u w:val="none"/>
              </w:rPr>
              <w:t>Skýring</w:t>
            </w:r>
          </w:p>
        </w:tc>
      </w:tr>
      <w:tr w:rsidR="00C22A90" w:rsidRPr="00E018DF" w:rsidTr="00C22A90">
        <w:tc>
          <w:tcPr>
            <w:tcW w:w="1908" w:type="dxa"/>
            <w:tcBorders>
              <w:top w:val="single" w:sz="8" w:space="0" w:color="auto"/>
              <w:left w:val="nil"/>
              <w:bottom w:val="single" w:sz="4"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Verulega jákvæð</w:t>
            </w:r>
          </w:p>
        </w:tc>
        <w:tc>
          <w:tcPr>
            <w:tcW w:w="7063" w:type="dxa"/>
            <w:tcBorders>
              <w:top w:val="single" w:sz="8" w:space="0" w:color="auto"/>
              <w:left w:val="single" w:sz="4" w:space="0" w:color="auto"/>
              <w:bottom w:val="single" w:sz="4"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Áhrif framkvæmdar eða áætlunar á umhverfisþátt/-þætti bæta hag mikils fjölda fólks og/eða hafa jákvæð áhrif á umfangsmikið svæði. Sú breyting eða ávinningur sem hlýst af framkvæmdinni/áætluninni er oftast varanleg. Áhrifin eru oftast á svæðis-, lands- og/eða heimsvísu en geta einnig verið staðbundin. Áhrifin samræmast ákvæðum laga og reglugerða, almennri stefnumörkun stjórnvalda eða alþjóðasamningum sem Ísland er aðili að.</w:t>
            </w:r>
          </w:p>
        </w:tc>
      </w:tr>
      <w:tr w:rsidR="00C22A90" w:rsidRPr="00E018DF" w:rsidTr="00C22A90">
        <w:tc>
          <w:tcPr>
            <w:tcW w:w="1908" w:type="dxa"/>
            <w:tcBorders>
              <w:top w:val="single" w:sz="4" w:space="0" w:color="auto"/>
              <w:left w:val="nil"/>
              <w:bottom w:val="single" w:sz="4"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Talsvert jákvæð</w:t>
            </w:r>
          </w:p>
        </w:tc>
        <w:tc>
          <w:tcPr>
            <w:tcW w:w="7063" w:type="dxa"/>
            <w:tcBorders>
              <w:top w:val="single" w:sz="4" w:space="0" w:color="auto"/>
              <w:left w:val="single" w:sz="4" w:space="0" w:color="auto"/>
              <w:bottom w:val="single" w:sz="4"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Áhrif framkvæmdar eða áætlunar á umhverfisþátt/-þætti taka ekki til umfangsmikils svæðis, en svæðið kann að vera viðkvæmt fyrir breytingum, m.a. vegna náttúrufars og fornminja. Áhrifin geta verið jákvæð fyrir svæðið og/eða geta verið jákvæð fyrir fjölda fólks. Áhrifin geta verið varanleg og í sumum tilfellum afturkræf. Áhrif geta verið stað-, svæðisbundin og/eða á landsvísu. Áhrifin samræmast ákvæðum laga og reglugerða, almennri stefnumörkun stjórnvalda eða alþjóðasamningum sem Ísland er aðili að.</w:t>
            </w:r>
          </w:p>
        </w:tc>
      </w:tr>
      <w:tr w:rsidR="00C22A90" w:rsidRPr="00E018DF" w:rsidTr="00C22A90">
        <w:tc>
          <w:tcPr>
            <w:tcW w:w="1908" w:type="dxa"/>
            <w:tcBorders>
              <w:top w:val="single" w:sz="4" w:space="0" w:color="auto"/>
              <w:left w:val="nil"/>
              <w:bottom w:val="single" w:sz="4"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Óveruleg</w:t>
            </w:r>
          </w:p>
        </w:tc>
        <w:tc>
          <w:tcPr>
            <w:tcW w:w="7063" w:type="dxa"/>
            <w:tcBorders>
              <w:top w:val="single" w:sz="4" w:space="0" w:color="auto"/>
              <w:left w:val="single" w:sz="4" w:space="0" w:color="auto"/>
              <w:bottom w:val="single" w:sz="4"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Áhrif framkvæmdar eða áætlunar á umhverfisþátt/-þætti eru minniháttar, með tilliti til umfangs svæðis og viðkvæmni þess fyrir breytingum, ásamt fjölda fólks sem verður fyrir áhrifum. Áhrifin eru í mörgum tilfellum tímabundin og að mestu afturkræf. Áhrif eru oftast stað-, eða svæðisbundin. Áhrifin samræmast ákvæðum laga og reglugerða, almennri stefnumörkun stjórnvalda eða alþjóðasamningum sem Ísland er aðili að.</w:t>
            </w:r>
          </w:p>
        </w:tc>
      </w:tr>
      <w:tr w:rsidR="00C22A90" w:rsidRPr="00E018DF" w:rsidTr="00C22A90">
        <w:tc>
          <w:tcPr>
            <w:tcW w:w="1908" w:type="dxa"/>
            <w:tcBorders>
              <w:top w:val="single" w:sz="4" w:space="0" w:color="auto"/>
              <w:left w:val="nil"/>
              <w:bottom w:val="single" w:sz="4"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Talsvert neikvæð</w:t>
            </w:r>
          </w:p>
        </w:tc>
        <w:tc>
          <w:tcPr>
            <w:tcW w:w="7063" w:type="dxa"/>
            <w:tcBorders>
              <w:top w:val="single" w:sz="4" w:space="0" w:color="auto"/>
              <w:left w:val="single" w:sz="4" w:space="0" w:color="auto"/>
              <w:bottom w:val="single" w:sz="4"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Áhrif framkvæmdar eða áætlunar á umhverfisþátt/-þætti taka ekki til umfangsmikils svæðis, en svæðið kann að vera viðkvæmt fyrir breytingum, m.a. vegna náttúrufars og fornminja. Áhrifin geta verið neikvæð fyrir svæðið og/eða geta valdið fjölda fólks ónæði eða óþægindum. Áhrifin geta verið varanleg og í sumum tilfellum óafturkræf. Áhrif geta verið stað-, svæðisbundin og/eða á landsvísu. Áhrifin geta að einhverju leyti verið í ósamræmi við ákvæði laga og reglugerða, almenna stefnumörkun stjórnvalda eða alþjóðasamninga sem Ísland er aðili að.</w:t>
            </w:r>
          </w:p>
        </w:tc>
      </w:tr>
      <w:tr w:rsidR="00C22A90" w:rsidRPr="00E018DF" w:rsidTr="00C22A90">
        <w:tc>
          <w:tcPr>
            <w:tcW w:w="1908" w:type="dxa"/>
            <w:tcBorders>
              <w:top w:val="single" w:sz="4" w:space="0" w:color="auto"/>
              <w:left w:val="nil"/>
              <w:bottom w:val="single" w:sz="12"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Verulega neikvæð</w:t>
            </w:r>
          </w:p>
        </w:tc>
        <w:tc>
          <w:tcPr>
            <w:tcW w:w="7063" w:type="dxa"/>
            <w:tcBorders>
              <w:top w:val="single" w:sz="4" w:space="0" w:color="auto"/>
              <w:left w:val="single" w:sz="4" w:space="0" w:color="auto"/>
              <w:bottom w:val="single" w:sz="12"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Áhrif framkvæmdar eða áætlunar á umhverfisþátt/-þætti skerða umfangsmikið svæði og/eða svæði sem er viðkvæmt fyrir breytingum, m.a. vegna náttúrufars og fornminja, og/eða rýra hag mikils fjölda fólks. Sú breyting eða tjón sem hlýst af framkvæmdinni er oftast varanleg og yfirleitt óafturkræft. Áhrif eru oftast á svæðis-, lands- og/eða heimsvísu en geta einnig verið staðbundin. Áhrifin eru í ósamræmi við ákvæði laga og reglugerða, almenna stefnumörkun stjórnvalda eða alþjóðasamningum sem Ísland er aðili að.</w:t>
            </w:r>
          </w:p>
        </w:tc>
      </w:tr>
      <w:tr w:rsidR="00C22A90" w:rsidRPr="00E018DF" w:rsidTr="00C22A90">
        <w:tc>
          <w:tcPr>
            <w:tcW w:w="1908" w:type="dxa"/>
            <w:tcBorders>
              <w:top w:val="single" w:sz="12" w:space="0" w:color="auto"/>
              <w:left w:val="nil"/>
              <w:bottom w:val="single" w:sz="12" w:space="0" w:color="auto"/>
              <w:right w:val="single" w:sz="4" w:space="0" w:color="auto"/>
            </w:tcBorders>
            <w:hideMark/>
          </w:tcPr>
          <w:p w:rsidR="00C22A90" w:rsidRPr="00E018DF" w:rsidRDefault="00C22A90">
            <w:pPr>
              <w:spacing w:after="60"/>
              <w:jc w:val="both"/>
              <w:rPr>
                <w:rFonts w:cs="Times New Roman"/>
                <w:sz w:val="20"/>
                <w:szCs w:val="20"/>
                <w:u w:val="none"/>
              </w:rPr>
            </w:pPr>
            <w:r w:rsidRPr="00E018DF">
              <w:rPr>
                <w:rFonts w:cs="Times New Roman"/>
                <w:sz w:val="20"/>
                <w:szCs w:val="20"/>
                <w:u w:val="none"/>
              </w:rPr>
              <w:t>Óvissa</w:t>
            </w:r>
          </w:p>
        </w:tc>
        <w:tc>
          <w:tcPr>
            <w:tcW w:w="7063" w:type="dxa"/>
            <w:tcBorders>
              <w:top w:val="single" w:sz="12" w:space="0" w:color="auto"/>
              <w:left w:val="single" w:sz="4" w:space="0" w:color="auto"/>
              <w:bottom w:val="single" w:sz="12" w:space="0" w:color="auto"/>
              <w:right w:val="nil"/>
            </w:tcBorders>
            <w:hideMark/>
          </w:tcPr>
          <w:p w:rsidR="00C22A90" w:rsidRPr="00E018DF" w:rsidRDefault="00C22A90">
            <w:pPr>
              <w:spacing w:after="60"/>
              <w:jc w:val="both"/>
              <w:rPr>
                <w:rFonts w:cs="Times New Roman"/>
                <w:sz w:val="18"/>
                <w:szCs w:val="18"/>
                <w:u w:val="none"/>
              </w:rPr>
            </w:pPr>
            <w:r w:rsidRPr="00E018DF">
              <w:rPr>
                <w:rFonts w:cs="Times New Roman"/>
                <w:sz w:val="18"/>
                <w:szCs w:val="18"/>
                <w:u w:val="none"/>
              </w:rPr>
              <w:t>Ekki er vitað um eðli eða umfang umhverfisáhrifa á tiltekna umhverfisþætti, m.a. vegna skorts á upplýsingum, tæknilegra annmarka eða skorts á þekkingu. Það getur verið unnt að afla upplýsinga um áhrifin með frekari rannsóknum eða markvissri vöktun.</w:t>
            </w:r>
          </w:p>
        </w:tc>
      </w:tr>
    </w:tbl>
    <w:p w:rsidR="00E62BEF" w:rsidRPr="00E018DF" w:rsidRDefault="00E62BEF">
      <w:pPr>
        <w:rPr>
          <w:b/>
          <w:sz w:val="26"/>
          <w:szCs w:val="26"/>
          <w:u w:val="none"/>
        </w:rPr>
      </w:pPr>
      <w:r w:rsidRPr="00E018DF">
        <w:rPr>
          <w:b/>
          <w:sz w:val="26"/>
          <w:szCs w:val="26"/>
          <w:u w:val="none"/>
        </w:rPr>
        <w:br w:type="page"/>
      </w:r>
    </w:p>
    <w:p w:rsidR="00C22A90" w:rsidRPr="00E018DF" w:rsidRDefault="00C22A90" w:rsidP="00B82B0F">
      <w:pPr>
        <w:pStyle w:val="Heading1"/>
      </w:pPr>
      <w:bookmarkStart w:id="13" w:name="_Toc306980558"/>
      <w:r w:rsidRPr="00E018DF">
        <w:lastRenderedPageBreak/>
        <w:t>Skilgreining, lýsing og mat á umhverfisáhrifum</w:t>
      </w:r>
      <w:bookmarkEnd w:id="13"/>
    </w:p>
    <w:p w:rsidR="00C22A90" w:rsidRPr="00E018DF" w:rsidRDefault="00C22A90" w:rsidP="00C22A90">
      <w:pPr>
        <w:spacing w:before="60"/>
        <w:rPr>
          <w:rFonts w:cs="Times New Roman"/>
          <w:u w:val="none"/>
          <w:lang w:eastAsia="is-IS"/>
        </w:rPr>
      </w:pPr>
      <w:r w:rsidRPr="00E018DF">
        <w:rPr>
          <w:rFonts w:cs="Times New Roman"/>
          <w:u w:val="none"/>
          <w:lang w:eastAsia="is-IS"/>
        </w:rPr>
        <w:t>Þeir þættir breytingarinnar sem taldir eru geta valdið umhverfisáhrifum eru stækkun byggingarreits aflþynnuverksmiðjunnar og færsla vegarins og það rask sem því fylgir sem og aukið frárennsli frá verksmiðjunni.</w:t>
      </w:r>
    </w:p>
    <w:p w:rsidR="004455C7" w:rsidRPr="00E018DF" w:rsidRDefault="004455C7" w:rsidP="004455C7">
      <w:pPr>
        <w:spacing w:before="60"/>
        <w:rPr>
          <w:rFonts w:cs="Times New Roman"/>
          <w:u w:val="none"/>
        </w:rPr>
      </w:pPr>
      <w:r w:rsidRPr="00E018DF">
        <w:rPr>
          <w:rFonts w:cs="Times New Roman"/>
          <w:u w:val="none"/>
        </w:rPr>
        <w:t>Engin þekkt umhverfisvandamál varða áætlunina. Framkvæmdir samkvæmt skipulagsáætluninni gefa ekki tilefni til sérstakra mótvægisaðgerða og ekki er talin ástæða til að vakta sérstaklega áhrif áætlunarinnar umfram það eftirlit sem lögboðnir eftirlitsaðilar hafa með höndum hvort sem er.</w:t>
      </w:r>
    </w:p>
    <w:p w:rsidR="00C22A90" w:rsidRPr="00E018DF" w:rsidRDefault="00C22A90" w:rsidP="00C22A90">
      <w:pPr>
        <w:spacing w:before="60"/>
        <w:rPr>
          <w:rFonts w:cs="Times New Roman"/>
          <w:u w:val="none"/>
        </w:rPr>
      </w:pPr>
      <w:r w:rsidRPr="00E018DF">
        <w:rPr>
          <w:rFonts w:cs="Times New Roman"/>
          <w:u w:val="none"/>
        </w:rPr>
        <w:t>Þeir umhverfisþættir sem litið er til eru eftirfarandi: sjór og strandsvæði, heilsa og öryggi, landslag, menningarminja</w:t>
      </w:r>
      <w:r w:rsidR="004455C7" w:rsidRPr="00E018DF">
        <w:rPr>
          <w:rFonts w:cs="Times New Roman"/>
          <w:u w:val="none"/>
        </w:rPr>
        <w:t>r</w:t>
      </w:r>
      <w:r w:rsidRPr="00E018DF">
        <w:rPr>
          <w:rFonts w:cs="Times New Roman"/>
          <w:u w:val="none"/>
        </w:rPr>
        <w:t xml:space="preserve"> og náttúruminjar. </w:t>
      </w:r>
    </w:p>
    <w:p w:rsidR="00C22A90" w:rsidRPr="00E018DF" w:rsidRDefault="00C22A90" w:rsidP="00C22A90">
      <w:pPr>
        <w:pStyle w:val="Caption"/>
        <w:keepNext/>
        <w:spacing w:before="120" w:after="0"/>
        <w:rPr>
          <w:rFonts w:ascii="Times New Roman" w:hAnsi="Times New Roman"/>
          <w:b w:val="0"/>
          <w:i/>
          <w:color w:val="auto"/>
          <w:u w:val="none"/>
        </w:rPr>
      </w:pPr>
      <w:r w:rsidRPr="00E018DF">
        <w:rPr>
          <w:rFonts w:ascii="Times New Roman" w:hAnsi="Times New Roman"/>
          <w:color w:val="auto"/>
          <w:u w:val="none"/>
        </w:rPr>
        <w:t xml:space="preserve">Tafla 2 </w:t>
      </w:r>
      <w:r w:rsidRPr="00E018DF">
        <w:rPr>
          <w:rFonts w:ascii="Times New Roman" w:hAnsi="Times New Roman"/>
          <w:b w:val="0"/>
          <w:i/>
          <w:color w:val="auto"/>
          <w:u w:val="none"/>
        </w:rPr>
        <w:t xml:space="preserve">Viðmið við mat á áhrifum áætlunarinnar á umhverfisþætti. </w:t>
      </w:r>
    </w:p>
    <w:tbl>
      <w:tblPr>
        <w:tblStyle w:val="TableGrid"/>
        <w:tblW w:w="0" w:type="auto"/>
        <w:tblLook w:val="04A0" w:firstRow="1" w:lastRow="0" w:firstColumn="1" w:lastColumn="0" w:noHBand="0" w:noVBand="1"/>
      </w:tblPr>
      <w:tblGrid>
        <w:gridCol w:w="3085"/>
        <w:gridCol w:w="6075"/>
      </w:tblGrid>
      <w:tr w:rsidR="00C22A90" w:rsidRPr="00E018DF" w:rsidTr="00C22A9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pPr>
              <w:spacing w:before="60"/>
              <w:ind w:left="176"/>
              <w:jc w:val="both"/>
              <w:rPr>
                <w:rFonts w:cs="Times New Roman"/>
                <w:sz w:val="22"/>
                <w:szCs w:val="24"/>
                <w:u w:val="none"/>
                <w:lang w:eastAsia="en-US"/>
              </w:rPr>
            </w:pPr>
            <w:r w:rsidRPr="00E018DF">
              <w:rPr>
                <w:rFonts w:cs="Times New Roman"/>
                <w:u w:val="none"/>
              </w:rPr>
              <w:t>Sjór og strandsvæði</w:t>
            </w:r>
          </w:p>
        </w:tc>
        <w:tc>
          <w:tcPr>
            <w:tcW w:w="6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Lög nr</w:t>
            </w:r>
            <w:r w:rsidR="00E018DF">
              <w:rPr>
                <w:rFonts w:cs="Times New Roman"/>
                <w:sz w:val="16"/>
                <w:u w:val="none"/>
              </w:rPr>
              <w:t>.</w:t>
            </w:r>
            <w:r w:rsidRPr="00E018DF">
              <w:rPr>
                <w:rFonts w:cs="Times New Roman"/>
                <w:sz w:val="16"/>
                <w:u w:val="none"/>
              </w:rPr>
              <w:t xml:space="preserve"> 33/2004 um varnir gegn mengun hafs og stranda</w:t>
            </w:r>
          </w:p>
          <w:p w:rsidR="00C22A90" w:rsidRPr="00E018DF" w:rsidRDefault="00C22A90" w:rsidP="00C22A90">
            <w:pPr>
              <w:numPr>
                <w:ilvl w:val="0"/>
                <w:numId w:val="2"/>
              </w:numPr>
              <w:spacing w:before="60"/>
              <w:ind w:left="176" w:hanging="142"/>
              <w:jc w:val="both"/>
              <w:rPr>
                <w:rFonts w:cs="Times New Roman"/>
                <w:sz w:val="16"/>
                <w:u w:val="none"/>
              </w:rPr>
            </w:pPr>
            <w:r w:rsidRPr="00E018DF">
              <w:rPr>
                <w:rFonts w:cs="Times New Roman"/>
                <w:sz w:val="16"/>
                <w:u w:val="none"/>
              </w:rPr>
              <w:t>Lög nr. 32/1986 um varnir gegn mengun sjávar</w:t>
            </w:r>
          </w:p>
          <w:p w:rsidR="00C22A90" w:rsidRPr="00E018DF" w:rsidRDefault="00C22A90" w:rsidP="00C22A90">
            <w:pPr>
              <w:numPr>
                <w:ilvl w:val="0"/>
                <w:numId w:val="2"/>
              </w:numPr>
              <w:spacing w:before="60"/>
              <w:ind w:left="176" w:hanging="142"/>
              <w:jc w:val="both"/>
              <w:rPr>
                <w:rFonts w:cs="Times New Roman"/>
                <w:sz w:val="16"/>
                <w:u w:val="none"/>
              </w:rPr>
            </w:pPr>
            <w:r w:rsidRPr="00E018DF">
              <w:rPr>
                <w:rFonts w:cs="Times New Roman"/>
                <w:sz w:val="16"/>
                <w:u w:val="none"/>
              </w:rPr>
              <w:t>Lög nr. 20/1972 um bann við losun hættulegra efna í sjó.</w:t>
            </w:r>
          </w:p>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Reglugerð 798/1999 um fráveitur og skólp</w:t>
            </w:r>
          </w:p>
        </w:tc>
      </w:tr>
      <w:tr w:rsidR="00C22A90" w:rsidRPr="00E018DF" w:rsidTr="00C22A9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pPr>
              <w:spacing w:before="60"/>
              <w:ind w:left="176"/>
              <w:jc w:val="both"/>
              <w:rPr>
                <w:rFonts w:cs="Times New Roman"/>
                <w:sz w:val="22"/>
                <w:szCs w:val="24"/>
                <w:u w:val="none"/>
                <w:lang w:eastAsia="en-US"/>
              </w:rPr>
            </w:pPr>
            <w:r w:rsidRPr="00E018DF">
              <w:rPr>
                <w:rFonts w:cs="Times New Roman"/>
                <w:u w:val="none"/>
              </w:rPr>
              <w:t>Heilsa og öryggi</w:t>
            </w:r>
          </w:p>
        </w:tc>
        <w:tc>
          <w:tcPr>
            <w:tcW w:w="6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Lög nr</w:t>
            </w:r>
            <w:r w:rsidR="00E018DF">
              <w:rPr>
                <w:rFonts w:cs="Times New Roman"/>
                <w:sz w:val="16"/>
                <w:u w:val="none"/>
              </w:rPr>
              <w:t>.</w:t>
            </w:r>
            <w:r w:rsidRPr="00E018DF">
              <w:rPr>
                <w:rFonts w:cs="Times New Roman"/>
                <w:sz w:val="16"/>
                <w:u w:val="none"/>
              </w:rPr>
              <w:t xml:space="preserve"> 33/2004 um varnir gegn mengun hafs og stranda</w:t>
            </w:r>
          </w:p>
          <w:p w:rsidR="00C22A90" w:rsidRPr="00E018DF" w:rsidRDefault="00C22A90" w:rsidP="00C22A90">
            <w:pPr>
              <w:numPr>
                <w:ilvl w:val="0"/>
                <w:numId w:val="2"/>
              </w:numPr>
              <w:spacing w:before="60"/>
              <w:ind w:left="176" w:hanging="142"/>
              <w:jc w:val="both"/>
              <w:rPr>
                <w:rFonts w:cs="Times New Roman"/>
                <w:sz w:val="16"/>
                <w:u w:val="none"/>
              </w:rPr>
            </w:pPr>
            <w:r w:rsidRPr="00E018DF">
              <w:rPr>
                <w:rFonts w:cs="Times New Roman"/>
                <w:sz w:val="16"/>
                <w:u w:val="none"/>
              </w:rPr>
              <w:t>Lög nr. 7/1998 um hollustuhætti og mengunarvarnir</w:t>
            </w:r>
          </w:p>
          <w:p w:rsidR="00C22A90" w:rsidRPr="00E018DF" w:rsidRDefault="00C22A90" w:rsidP="00C22A90">
            <w:pPr>
              <w:numPr>
                <w:ilvl w:val="0"/>
                <w:numId w:val="2"/>
              </w:numPr>
              <w:spacing w:before="60"/>
              <w:ind w:left="176" w:hanging="142"/>
              <w:jc w:val="both"/>
              <w:rPr>
                <w:rFonts w:cs="Times New Roman"/>
                <w:sz w:val="16"/>
                <w:u w:val="none"/>
              </w:rPr>
            </w:pPr>
            <w:r w:rsidRPr="00E018DF">
              <w:rPr>
                <w:rFonts w:cs="Times New Roman"/>
                <w:sz w:val="16"/>
                <w:u w:val="none"/>
              </w:rPr>
              <w:t>Reglugerð 724/2008 um hávaða</w:t>
            </w:r>
          </w:p>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Reglugerð 787/1999 um loftgæði</w:t>
            </w:r>
          </w:p>
        </w:tc>
      </w:tr>
      <w:tr w:rsidR="00C22A90" w:rsidRPr="00E018DF" w:rsidTr="00C22A9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pPr>
              <w:spacing w:before="60"/>
              <w:ind w:left="176"/>
              <w:jc w:val="both"/>
              <w:rPr>
                <w:rFonts w:cs="Times New Roman"/>
                <w:sz w:val="22"/>
                <w:szCs w:val="24"/>
                <w:u w:val="none"/>
                <w:lang w:eastAsia="en-US"/>
              </w:rPr>
            </w:pPr>
            <w:r w:rsidRPr="00E018DF">
              <w:rPr>
                <w:rFonts w:cs="Times New Roman"/>
                <w:u w:val="none"/>
              </w:rPr>
              <w:t>Landslag</w:t>
            </w:r>
          </w:p>
        </w:tc>
        <w:tc>
          <w:tcPr>
            <w:tcW w:w="6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Velferð til framtíðar. Sjálfbær þróun í íslensku samfélagi. Stefnumörkun til 2020. Umhverfisráðuneytið, 2002</w:t>
            </w:r>
          </w:p>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Skipulagslög nr. 123/2010</w:t>
            </w:r>
          </w:p>
        </w:tc>
      </w:tr>
      <w:tr w:rsidR="00C22A90" w:rsidRPr="00E018DF" w:rsidTr="00C22A9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pPr>
              <w:spacing w:before="60"/>
              <w:ind w:left="176"/>
              <w:jc w:val="both"/>
              <w:rPr>
                <w:rFonts w:cs="Times New Roman"/>
                <w:sz w:val="16"/>
                <w:szCs w:val="24"/>
                <w:u w:val="none"/>
                <w:lang w:eastAsia="en-US"/>
              </w:rPr>
            </w:pPr>
            <w:r w:rsidRPr="00E018DF">
              <w:rPr>
                <w:rFonts w:cs="Times New Roman"/>
                <w:u w:val="none"/>
              </w:rPr>
              <w:t>Menningarminjar</w:t>
            </w:r>
          </w:p>
        </w:tc>
        <w:tc>
          <w:tcPr>
            <w:tcW w:w="6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rsidP="00C22A90">
            <w:pPr>
              <w:numPr>
                <w:ilvl w:val="0"/>
                <w:numId w:val="2"/>
              </w:numPr>
              <w:ind w:left="176" w:hanging="142"/>
              <w:jc w:val="both"/>
              <w:rPr>
                <w:rFonts w:cs="Times New Roman"/>
                <w:sz w:val="16"/>
                <w:szCs w:val="24"/>
                <w:u w:val="none"/>
                <w:lang w:eastAsia="en-US"/>
              </w:rPr>
            </w:pPr>
            <w:r w:rsidRPr="00E018DF">
              <w:rPr>
                <w:rFonts w:cs="Times New Roman"/>
                <w:sz w:val="16"/>
                <w:u w:val="none"/>
              </w:rPr>
              <w:t>Þjóðminjalög nr. 107/2001</w:t>
            </w:r>
          </w:p>
          <w:p w:rsidR="00C22A90" w:rsidRPr="00E018DF" w:rsidRDefault="00C22A90" w:rsidP="00C22A90">
            <w:pPr>
              <w:numPr>
                <w:ilvl w:val="0"/>
                <w:numId w:val="2"/>
              </w:numPr>
              <w:ind w:left="176" w:hanging="142"/>
              <w:jc w:val="both"/>
              <w:rPr>
                <w:rFonts w:cs="Times New Roman"/>
                <w:sz w:val="16"/>
                <w:szCs w:val="24"/>
                <w:u w:val="none"/>
                <w:lang w:eastAsia="en-US"/>
              </w:rPr>
            </w:pPr>
            <w:r w:rsidRPr="00E018DF">
              <w:rPr>
                <w:rFonts w:cs="Times New Roman"/>
                <w:sz w:val="16"/>
                <w:u w:val="none"/>
              </w:rPr>
              <w:t>Skipulagslög nr. 123/2010</w:t>
            </w:r>
          </w:p>
        </w:tc>
      </w:tr>
      <w:tr w:rsidR="00C22A90" w:rsidRPr="00E018DF" w:rsidTr="00C22A9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pPr>
              <w:spacing w:before="60"/>
              <w:ind w:left="176"/>
              <w:jc w:val="both"/>
              <w:rPr>
                <w:rFonts w:cs="Times New Roman"/>
                <w:sz w:val="16"/>
                <w:szCs w:val="24"/>
                <w:u w:val="none"/>
                <w:lang w:eastAsia="en-US"/>
              </w:rPr>
            </w:pPr>
            <w:r w:rsidRPr="00E018DF">
              <w:rPr>
                <w:rFonts w:cs="Times New Roman"/>
                <w:u w:val="none"/>
              </w:rPr>
              <w:t>Náttúruminjar</w:t>
            </w:r>
          </w:p>
        </w:tc>
        <w:tc>
          <w:tcPr>
            <w:tcW w:w="6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90" w:rsidRPr="00E018DF" w:rsidRDefault="00C22A90" w:rsidP="00C22A90">
            <w:pPr>
              <w:numPr>
                <w:ilvl w:val="0"/>
                <w:numId w:val="2"/>
              </w:numPr>
              <w:spacing w:before="60"/>
              <w:ind w:left="176" w:hanging="142"/>
              <w:jc w:val="both"/>
              <w:rPr>
                <w:rFonts w:cs="Times New Roman"/>
                <w:sz w:val="16"/>
                <w:szCs w:val="24"/>
                <w:u w:val="none"/>
                <w:lang w:eastAsia="en-US"/>
              </w:rPr>
            </w:pPr>
            <w:r w:rsidRPr="00E018DF">
              <w:rPr>
                <w:rFonts w:cs="Times New Roman"/>
                <w:sz w:val="16"/>
                <w:u w:val="none"/>
              </w:rPr>
              <w:t>Lög um náttúruvernd nr. 44/1999, kaflar V og VI</w:t>
            </w:r>
          </w:p>
          <w:p w:rsidR="00C22A90" w:rsidRPr="00E018DF" w:rsidRDefault="00C22A90" w:rsidP="00C22A90">
            <w:pPr>
              <w:numPr>
                <w:ilvl w:val="0"/>
                <w:numId w:val="2"/>
              </w:numPr>
              <w:ind w:left="176" w:hanging="142"/>
              <w:jc w:val="both"/>
              <w:rPr>
                <w:rFonts w:cs="Times New Roman"/>
                <w:sz w:val="16"/>
                <w:u w:val="none"/>
              </w:rPr>
            </w:pPr>
            <w:r w:rsidRPr="00E018DF">
              <w:rPr>
                <w:rFonts w:cs="Times New Roman"/>
                <w:sz w:val="16"/>
                <w:u w:val="none"/>
              </w:rPr>
              <w:t>Náttúruminjaskrá, 7. útgáfa, 1996, með síðari viðbótum.</w:t>
            </w:r>
          </w:p>
          <w:p w:rsidR="004455C7" w:rsidRPr="00E018DF" w:rsidRDefault="004455C7" w:rsidP="004455C7">
            <w:pPr>
              <w:numPr>
                <w:ilvl w:val="0"/>
                <w:numId w:val="2"/>
              </w:numPr>
              <w:ind w:left="176" w:hanging="142"/>
              <w:jc w:val="both"/>
              <w:rPr>
                <w:rFonts w:cs="Times New Roman"/>
                <w:sz w:val="16"/>
                <w:u w:val="none"/>
              </w:rPr>
            </w:pPr>
            <w:r w:rsidRPr="00E018DF">
              <w:rPr>
                <w:rFonts w:cs="Times New Roman"/>
                <w:sz w:val="16"/>
                <w:u w:val="none"/>
              </w:rPr>
              <w:t xml:space="preserve">Náttúruverndaráætlun 2004-2008 </w:t>
            </w:r>
          </w:p>
          <w:p w:rsidR="004455C7" w:rsidRPr="00E018DF" w:rsidRDefault="004455C7" w:rsidP="004455C7">
            <w:pPr>
              <w:numPr>
                <w:ilvl w:val="0"/>
                <w:numId w:val="2"/>
              </w:numPr>
              <w:ind w:left="176" w:hanging="142"/>
              <w:jc w:val="both"/>
              <w:rPr>
                <w:rFonts w:cs="Times New Roman"/>
                <w:sz w:val="16"/>
                <w:u w:val="none"/>
              </w:rPr>
            </w:pPr>
            <w:r w:rsidRPr="00E018DF">
              <w:rPr>
                <w:rFonts w:cs="Times New Roman"/>
                <w:sz w:val="16"/>
                <w:u w:val="none"/>
              </w:rPr>
              <w:t>Náttúruverndaráætlun 2009-2013</w:t>
            </w:r>
          </w:p>
          <w:p w:rsidR="00C22A90" w:rsidRPr="00E018DF" w:rsidRDefault="00C22A90" w:rsidP="00C22A90">
            <w:pPr>
              <w:numPr>
                <w:ilvl w:val="0"/>
                <w:numId w:val="2"/>
              </w:numPr>
              <w:ind w:left="176" w:hanging="142"/>
              <w:jc w:val="both"/>
              <w:rPr>
                <w:rFonts w:cs="Times New Roman"/>
                <w:sz w:val="16"/>
                <w:szCs w:val="24"/>
                <w:u w:val="none"/>
                <w:lang w:eastAsia="en-US"/>
              </w:rPr>
            </w:pPr>
            <w:r w:rsidRPr="00E018DF">
              <w:rPr>
                <w:rFonts w:cs="Times New Roman"/>
                <w:sz w:val="16"/>
                <w:u w:val="none"/>
              </w:rPr>
              <w:t xml:space="preserve">Velferð til framtíðar. Sjálfbær þróun í íslensku samfélagi. Stefnumörkun til 2020. Umhverfisráðuneytið, 2002. </w:t>
            </w:r>
          </w:p>
        </w:tc>
      </w:tr>
    </w:tbl>
    <w:p w:rsidR="004455C7" w:rsidRPr="00E018DF" w:rsidRDefault="002321EB" w:rsidP="00B527EC">
      <w:pPr>
        <w:keepNext/>
        <w:spacing w:before="120"/>
        <w:rPr>
          <w:rFonts w:cs="Times New Roman"/>
          <w:b/>
          <w:u w:val="none"/>
        </w:rPr>
      </w:pPr>
      <w:r w:rsidRPr="00E018DF">
        <w:rPr>
          <w:rFonts w:cs="Times New Roman"/>
          <w:b/>
          <w:u w:val="none"/>
        </w:rPr>
        <w:t>Núllkostur</w:t>
      </w:r>
    </w:p>
    <w:p w:rsidR="008309DC" w:rsidRPr="00E018DF" w:rsidRDefault="004455C7" w:rsidP="00F255F1">
      <w:pPr>
        <w:rPr>
          <w:rFonts w:cs="Times New Roman"/>
          <w:u w:val="none"/>
        </w:rPr>
      </w:pPr>
      <w:r w:rsidRPr="00E018DF">
        <w:rPr>
          <w:rFonts w:cs="Times New Roman"/>
          <w:u w:val="none"/>
        </w:rPr>
        <w:t xml:space="preserve">Svæðið er ætlað undir iðnað. Verði ekki af </w:t>
      </w:r>
      <w:r w:rsidR="00E62BEF" w:rsidRPr="00E018DF">
        <w:rPr>
          <w:rFonts w:cs="Times New Roman"/>
          <w:u w:val="none"/>
        </w:rPr>
        <w:t>breytingu</w:t>
      </w:r>
      <w:r w:rsidRPr="00E018DF">
        <w:rPr>
          <w:rFonts w:cs="Times New Roman"/>
          <w:u w:val="none"/>
        </w:rPr>
        <w:t xml:space="preserve"> deiliskipulagsins verður ekki af stækkun aflþynnuverksmiðjunnar </w:t>
      </w:r>
      <w:r w:rsidR="006402B9" w:rsidRPr="00E018DF">
        <w:rPr>
          <w:rFonts w:cs="Times New Roman"/>
          <w:u w:val="none"/>
        </w:rPr>
        <w:t xml:space="preserve">í þeirri mynd sem fyrirhuguð er, </w:t>
      </w:r>
      <w:r w:rsidR="00075260" w:rsidRPr="00E018DF">
        <w:rPr>
          <w:rFonts w:cs="Times New Roman"/>
          <w:u w:val="none"/>
        </w:rPr>
        <w:t>þar sem stærð lóðarinnar eins og</w:t>
      </w:r>
      <w:r w:rsidR="00813B5E" w:rsidRPr="00E018DF">
        <w:rPr>
          <w:rFonts w:cs="Times New Roman"/>
          <w:u w:val="none"/>
        </w:rPr>
        <w:t xml:space="preserve"> hún er í dag rúmar ekki fyrirhug</w:t>
      </w:r>
      <w:r w:rsidR="006402B9" w:rsidRPr="00E018DF">
        <w:rPr>
          <w:rFonts w:cs="Times New Roman"/>
          <w:u w:val="none"/>
        </w:rPr>
        <w:t>að húsnæði</w:t>
      </w:r>
      <w:r w:rsidR="00813B5E" w:rsidRPr="00E018DF">
        <w:rPr>
          <w:rFonts w:cs="Times New Roman"/>
          <w:u w:val="none"/>
        </w:rPr>
        <w:t xml:space="preserve"> verksmiðj</w:t>
      </w:r>
      <w:r w:rsidR="006402B9" w:rsidRPr="00E018DF">
        <w:rPr>
          <w:rFonts w:cs="Times New Roman"/>
          <w:u w:val="none"/>
        </w:rPr>
        <w:t xml:space="preserve">unnar. Ný kynslóð véla sem fara eiga inn í verksmiðjuna þurfa meira rými en þær vélar sem eru í notkun í dag. </w:t>
      </w:r>
      <w:r w:rsidR="006A7E7C" w:rsidRPr="00E018DF">
        <w:rPr>
          <w:rFonts w:cs="Times New Roman"/>
          <w:u w:val="none"/>
        </w:rPr>
        <w:t xml:space="preserve">Líkleg niðurstaða núllkostar er að hætt verði við stækkun eða að notast verði við eldri gerð vélasamstæða. </w:t>
      </w:r>
    </w:p>
    <w:p w:rsidR="00C22A90" w:rsidRPr="00E018DF" w:rsidRDefault="00C22A90" w:rsidP="00B527EC">
      <w:pPr>
        <w:keepNext/>
        <w:spacing w:before="120"/>
        <w:rPr>
          <w:rFonts w:cs="Times New Roman"/>
          <w:b/>
          <w:u w:val="none"/>
        </w:rPr>
      </w:pPr>
      <w:r w:rsidRPr="00E018DF">
        <w:rPr>
          <w:rFonts w:cs="Times New Roman"/>
          <w:b/>
          <w:u w:val="none"/>
        </w:rPr>
        <w:t>Sjór og strandsvæði</w:t>
      </w:r>
    </w:p>
    <w:p w:rsidR="00E018DF" w:rsidRDefault="00C22A90" w:rsidP="00C22A90">
      <w:pPr>
        <w:spacing w:before="120"/>
        <w:rPr>
          <w:rFonts w:cs="Times New Roman"/>
          <w:u w:val="none"/>
        </w:rPr>
      </w:pPr>
      <w:r w:rsidRPr="00E018DF">
        <w:rPr>
          <w:rFonts w:cs="Times New Roman"/>
          <w:u w:val="none"/>
        </w:rPr>
        <w:t xml:space="preserve">Við stækkun aflþynnuverksmiðjunnar mun magn frárennslis frá henni aukast. </w:t>
      </w:r>
      <w:r w:rsidR="00ED78F3" w:rsidRPr="00E018DF">
        <w:rPr>
          <w:rFonts w:cs="Times New Roman"/>
          <w:u w:val="none"/>
        </w:rPr>
        <w:t>Úrbætur</w:t>
      </w:r>
      <w:r w:rsidRPr="00E018DF">
        <w:rPr>
          <w:rFonts w:cs="Times New Roman"/>
          <w:u w:val="none"/>
        </w:rPr>
        <w:t xml:space="preserve"> hafa verið gerðar á hreinsikerfum verksmiðjunnar og uppfy</w:t>
      </w:r>
      <w:r w:rsidR="00ED78F3" w:rsidRPr="00E018DF">
        <w:rPr>
          <w:rFonts w:cs="Times New Roman"/>
          <w:u w:val="none"/>
        </w:rPr>
        <w:t>llir frárennsli</w:t>
      </w:r>
      <w:r w:rsidRPr="00E018DF">
        <w:rPr>
          <w:rFonts w:cs="Times New Roman"/>
          <w:u w:val="none"/>
        </w:rPr>
        <w:t xml:space="preserve"> kröfur starfsleyfis. </w:t>
      </w:r>
      <w:r w:rsidR="00CC56F7" w:rsidRPr="00E018DF">
        <w:rPr>
          <w:rFonts w:cs="Times New Roman"/>
          <w:u w:val="none"/>
        </w:rPr>
        <w:t>Samhliða stækkun verksmiðjunnar er f</w:t>
      </w:r>
      <w:r w:rsidR="005F207B" w:rsidRPr="00E018DF">
        <w:rPr>
          <w:rFonts w:cs="Times New Roman"/>
          <w:u w:val="none"/>
        </w:rPr>
        <w:t xml:space="preserve">yrirhugað að byggja jöfnunartank fyrir frárennsli til að </w:t>
      </w:r>
      <w:r w:rsidR="00CC56F7" w:rsidRPr="00E018DF">
        <w:rPr>
          <w:rFonts w:cs="Times New Roman"/>
          <w:u w:val="none"/>
        </w:rPr>
        <w:t xml:space="preserve">tryggja enn frekar jöfnun sýrustigs. </w:t>
      </w:r>
      <w:r w:rsidRPr="00E018DF">
        <w:rPr>
          <w:rFonts w:cs="Times New Roman"/>
          <w:u w:val="none"/>
        </w:rPr>
        <w:t xml:space="preserve">Í kjölfar stækkunarinnar eykst magn frárennslis frá verksmiðjunni </w:t>
      </w:r>
      <w:r w:rsidR="00CF6EA0" w:rsidRPr="00E018DF">
        <w:rPr>
          <w:rFonts w:cs="Times New Roman"/>
          <w:u w:val="none"/>
        </w:rPr>
        <w:t xml:space="preserve">í réttu hlutfalli við stækkun verksmiðjunnar </w:t>
      </w:r>
      <w:r w:rsidRPr="00E018DF">
        <w:rPr>
          <w:rFonts w:cs="Times New Roman"/>
          <w:u w:val="none"/>
        </w:rPr>
        <w:t xml:space="preserve">en styrkleiki efna mun ekki breytast. </w:t>
      </w:r>
    </w:p>
    <w:p w:rsidR="00E72305" w:rsidRDefault="00E72305" w:rsidP="00C22A90">
      <w:pPr>
        <w:spacing w:before="120"/>
        <w:rPr>
          <w:rFonts w:cs="Times New Roman"/>
          <w:u w:val="none"/>
        </w:rPr>
      </w:pPr>
    </w:p>
    <w:p w:rsidR="00E72305" w:rsidRDefault="00E72305" w:rsidP="00C22A90">
      <w:pPr>
        <w:spacing w:before="120"/>
        <w:rPr>
          <w:rFonts w:cs="Times New Roman"/>
          <w:u w:val="none"/>
        </w:rPr>
      </w:pPr>
    </w:p>
    <w:p w:rsidR="00E018DF" w:rsidRPr="00E018DF" w:rsidRDefault="00E018DF" w:rsidP="00C22A90">
      <w:pPr>
        <w:spacing w:before="120"/>
        <w:rPr>
          <w:rFonts w:cs="Times New Roman"/>
          <w:u w:val="none"/>
        </w:rPr>
      </w:pPr>
    </w:p>
    <w:p w:rsidR="00E018DF" w:rsidRPr="00E018DF" w:rsidRDefault="00E018DF" w:rsidP="00E018DF">
      <w:pPr>
        <w:pStyle w:val="Caption"/>
        <w:keepNext/>
        <w:spacing w:before="120" w:after="0"/>
        <w:rPr>
          <w:rFonts w:ascii="Times New Roman" w:hAnsi="Times New Roman"/>
          <w:color w:val="auto"/>
          <w:u w:val="none"/>
        </w:rPr>
      </w:pPr>
      <w:r w:rsidRPr="00E018DF">
        <w:rPr>
          <w:rFonts w:ascii="Times New Roman" w:hAnsi="Times New Roman"/>
          <w:color w:val="auto"/>
          <w:u w:val="none"/>
        </w:rPr>
        <w:lastRenderedPageBreak/>
        <w:t xml:space="preserve">Tafla </w:t>
      </w:r>
      <w:r w:rsidR="00B527EC">
        <w:rPr>
          <w:rFonts w:ascii="Times New Roman" w:hAnsi="Times New Roman"/>
          <w:color w:val="auto"/>
          <w:u w:val="none"/>
        </w:rPr>
        <w:t>3</w:t>
      </w:r>
      <w:r w:rsidRPr="00E018DF">
        <w:rPr>
          <w:rFonts w:ascii="Times New Roman" w:hAnsi="Times New Roman"/>
          <w:color w:val="auto"/>
          <w:u w:val="none"/>
        </w:rPr>
        <w:t xml:space="preserve"> </w:t>
      </w:r>
      <w:r w:rsidRPr="00B527EC">
        <w:rPr>
          <w:rFonts w:ascii="Times New Roman" w:hAnsi="Times New Roman"/>
          <w:b w:val="0"/>
          <w:i/>
          <w:color w:val="auto"/>
          <w:u w:val="none"/>
        </w:rPr>
        <w:t>Styrkur og magn efna í frárennsli við núverandi aðstæður og eftir fyrirhugaða stækkun</w:t>
      </w:r>
    </w:p>
    <w:tbl>
      <w:tblPr>
        <w:tblStyle w:val="TableGrid"/>
        <w:tblW w:w="0" w:type="auto"/>
        <w:tblLook w:val="04A0" w:firstRow="1" w:lastRow="0" w:firstColumn="1" w:lastColumn="0" w:noHBand="0" w:noVBand="1"/>
      </w:tblPr>
      <w:tblGrid>
        <w:gridCol w:w="1842"/>
        <w:gridCol w:w="1842"/>
        <w:gridCol w:w="1842"/>
        <w:gridCol w:w="1843"/>
        <w:gridCol w:w="1843"/>
      </w:tblGrid>
      <w:tr w:rsidR="006F3A0E" w:rsidRPr="00E018DF" w:rsidTr="006F3A0E">
        <w:tc>
          <w:tcPr>
            <w:tcW w:w="1842" w:type="dxa"/>
            <w:tcBorders>
              <w:top w:val="single" w:sz="12" w:space="0" w:color="auto"/>
              <w:left w:val="single" w:sz="12" w:space="0" w:color="auto"/>
              <w:right w:val="single" w:sz="12" w:space="0" w:color="auto"/>
            </w:tcBorders>
            <w:shd w:val="clear" w:color="auto" w:fill="D9D9D9" w:themeFill="background1" w:themeFillShade="D9"/>
          </w:tcPr>
          <w:p w:rsidR="006F3A0E" w:rsidRPr="00FD7DFE" w:rsidRDefault="006F3A0E" w:rsidP="006F3A0E">
            <w:pPr>
              <w:rPr>
                <w:u w:val="none"/>
              </w:rPr>
            </w:pPr>
            <w:r w:rsidRPr="00FD7DFE">
              <w:rPr>
                <w:u w:val="none"/>
              </w:rPr>
              <w:t>Efnisþáttur</w:t>
            </w:r>
          </w:p>
        </w:tc>
        <w:tc>
          <w:tcPr>
            <w:tcW w:w="3684" w:type="dxa"/>
            <w:gridSpan w:val="2"/>
            <w:tcBorders>
              <w:top w:val="single" w:sz="12" w:space="0" w:color="auto"/>
              <w:left w:val="single" w:sz="12" w:space="0" w:color="auto"/>
              <w:right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Núverandi</w:t>
            </w:r>
          </w:p>
        </w:tc>
        <w:tc>
          <w:tcPr>
            <w:tcW w:w="3686" w:type="dxa"/>
            <w:gridSpan w:val="2"/>
            <w:tcBorders>
              <w:top w:val="single" w:sz="12" w:space="0" w:color="auto"/>
              <w:left w:val="single" w:sz="12" w:space="0" w:color="auto"/>
              <w:right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Eftir stækkun</w:t>
            </w:r>
            <w:r w:rsidR="00B527EC" w:rsidRPr="00FD7DFE">
              <w:rPr>
                <w:u w:val="none"/>
              </w:rPr>
              <w:t>*</w:t>
            </w:r>
          </w:p>
        </w:tc>
      </w:tr>
      <w:tr w:rsidR="006F3A0E" w:rsidRPr="00E018DF" w:rsidTr="006F3A0E">
        <w:tc>
          <w:tcPr>
            <w:tcW w:w="1842" w:type="dxa"/>
            <w:tcBorders>
              <w:left w:val="single" w:sz="12" w:space="0" w:color="auto"/>
              <w:bottom w:val="single" w:sz="12" w:space="0" w:color="auto"/>
              <w:right w:val="single" w:sz="12" w:space="0" w:color="auto"/>
            </w:tcBorders>
            <w:shd w:val="clear" w:color="auto" w:fill="D9D9D9" w:themeFill="background1" w:themeFillShade="D9"/>
            <w:vAlign w:val="bottom"/>
          </w:tcPr>
          <w:p w:rsidR="006F3A0E" w:rsidRPr="00FD7DFE" w:rsidRDefault="006F3A0E" w:rsidP="006F3A0E">
            <w:pPr>
              <w:rPr>
                <w:rFonts w:ascii="Calibri" w:hAnsi="Calibri" w:cs="Calibri"/>
                <w:color w:val="000000"/>
                <w:sz w:val="18"/>
                <w:szCs w:val="18"/>
                <w:u w:val="none"/>
              </w:rPr>
            </w:pPr>
          </w:p>
        </w:tc>
        <w:tc>
          <w:tcPr>
            <w:tcW w:w="1842" w:type="dxa"/>
            <w:tcBorders>
              <w:left w:val="single" w:sz="12" w:space="0" w:color="auto"/>
              <w:bottom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Styrkur (mg/L)</w:t>
            </w:r>
          </w:p>
        </w:tc>
        <w:tc>
          <w:tcPr>
            <w:tcW w:w="1842" w:type="dxa"/>
            <w:tcBorders>
              <w:bottom w:val="single" w:sz="12" w:space="0" w:color="auto"/>
              <w:right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Magn (kg/ári)</w:t>
            </w:r>
          </w:p>
        </w:tc>
        <w:tc>
          <w:tcPr>
            <w:tcW w:w="1843" w:type="dxa"/>
            <w:tcBorders>
              <w:left w:val="single" w:sz="12" w:space="0" w:color="auto"/>
              <w:bottom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Styrkur (mg/L)</w:t>
            </w:r>
          </w:p>
        </w:tc>
        <w:tc>
          <w:tcPr>
            <w:tcW w:w="1843" w:type="dxa"/>
            <w:tcBorders>
              <w:bottom w:val="single" w:sz="12" w:space="0" w:color="auto"/>
              <w:right w:val="single" w:sz="12" w:space="0" w:color="auto"/>
            </w:tcBorders>
            <w:shd w:val="clear" w:color="auto" w:fill="D9D9D9" w:themeFill="background1" w:themeFillShade="D9"/>
          </w:tcPr>
          <w:p w:rsidR="006F3A0E" w:rsidRPr="00FD7DFE" w:rsidRDefault="006F3A0E" w:rsidP="006F3A0E">
            <w:pPr>
              <w:jc w:val="center"/>
              <w:rPr>
                <w:u w:val="none"/>
              </w:rPr>
            </w:pPr>
            <w:r w:rsidRPr="00FD7DFE">
              <w:rPr>
                <w:u w:val="none"/>
              </w:rPr>
              <w:t>Magn (kg/ári)</w:t>
            </w:r>
          </w:p>
        </w:tc>
      </w:tr>
      <w:tr w:rsidR="006F3A0E" w:rsidRPr="00E018DF" w:rsidTr="006F3A0E">
        <w:tc>
          <w:tcPr>
            <w:tcW w:w="1842" w:type="dxa"/>
            <w:tcBorders>
              <w:top w:val="single" w:sz="12" w:space="0" w:color="auto"/>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COD</w:t>
            </w:r>
          </w:p>
        </w:tc>
        <w:tc>
          <w:tcPr>
            <w:tcW w:w="1842" w:type="dxa"/>
            <w:tcBorders>
              <w:top w:val="single" w:sz="12" w:space="0" w:color="auto"/>
              <w:left w:val="single" w:sz="12" w:space="0" w:color="auto"/>
            </w:tcBorders>
          </w:tcPr>
          <w:p w:rsidR="006F3A0E" w:rsidRPr="00FD7DFE" w:rsidRDefault="006F3A0E" w:rsidP="006F3A0E">
            <w:pPr>
              <w:jc w:val="right"/>
              <w:rPr>
                <w:u w:val="none"/>
              </w:rPr>
            </w:pPr>
            <w:r w:rsidRPr="00FD7DFE">
              <w:rPr>
                <w:u w:val="none"/>
              </w:rPr>
              <w:t>37</w:t>
            </w:r>
          </w:p>
        </w:tc>
        <w:tc>
          <w:tcPr>
            <w:tcW w:w="1842" w:type="dxa"/>
            <w:tcBorders>
              <w:top w:val="single" w:sz="12" w:space="0" w:color="auto"/>
              <w:right w:val="single" w:sz="12" w:space="0" w:color="auto"/>
            </w:tcBorders>
          </w:tcPr>
          <w:p w:rsidR="006F3A0E" w:rsidRPr="00FD7DFE" w:rsidRDefault="006F3A0E" w:rsidP="006F3A0E">
            <w:pPr>
              <w:jc w:val="right"/>
              <w:rPr>
                <w:u w:val="none"/>
              </w:rPr>
            </w:pPr>
            <w:r w:rsidRPr="00FD7DFE">
              <w:rPr>
                <w:u w:val="none"/>
              </w:rPr>
              <w:t>29.100</w:t>
            </w:r>
          </w:p>
        </w:tc>
        <w:tc>
          <w:tcPr>
            <w:tcW w:w="1843" w:type="dxa"/>
            <w:tcBorders>
              <w:top w:val="single" w:sz="12" w:space="0" w:color="auto"/>
              <w:left w:val="single" w:sz="12" w:space="0" w:color="auto"/>
            </w:tcBorders>
          </w:tcPr>
          <w:p w:rsidR="006F3A0E" w:rsidRPr="00FD7DFE" w:rsidRDefault="006F3A0E" w:rsidP="006F3A0E">
            <w:pPr>
              <w:jc w:val="right"/>
              <w:rPr>
                <w:u w:val="none"/>
              </w:rPr>
            </w:pPr>
            <w:r w:rsidRPr="00FD7DFE">
              <w:rPr>
                <w:u w:val="none"/>
              </w:rPr>
              <w:t>37</w:t>
            </w:r>
          </w:p>
        </w:tc>
        <w:tc>
          <w:tcPr>
            <w:tcW w:w="1843" w:type="dxa"/>
            <w:tcBorders>
              <w:top w:val="single" w:sz="12" w:space="0" w:color="auto"/>
              <w:right w:val="single" w:sz="12" w:space="0" w:color="auto"/>
            </w:tcBorders>
          </w:tcPr>
          <w:p w:rsidR="006F3A0E" w:rsidRPr="00FD7DFE" w:rsidRDefault="006F3A0E" w:rsidP="006F3A0E">
            <w:pPr>
              <w:jc w:val="right"/>
              <w:rPr>
                <w:u w:val="none"/>
              </w:rPr>
            </w:pPr>
            <w:r w:rsidRPr="00FD7DFE">
              <w:rPr>
                <w:u w:val="none"/>
              </w:rPr>
              <w:t>49.500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Svifagnir</w:t>
            </w:r>
          </w:p>
        </w:tc>
        <w:tc>
          <w:tcPr>
            <w:tcW w:w="1842" w:type="dxa"/>
            <w:tcBorders>
              <w:left w:val="single" w:sz="12" w:space="0" w:color="auto"/>
            </w:tcBorders>
          </w:tcPr>
          <w:p w:rsidR="006F3A0E" w:rsidRPr="00FD7DFE" w:rsidRDefault="006F3A0E" w:rsidP="006F3A0E">
            <w:pPr>
              <w:jc w:val="right"/>
              <w:rPr>
                <w:u w:val="none"/>
              </w:rPr>
            </w:pPr>
            <w:r w:rsidRPr="00FD7DFE">
              <w:rPr>
                <w:u w:val="none"/>
              </w:rPr>
              <w:t>44</w:t>
            </w:r>
          </w:p>
        </w:tc>
        <w:tc>
          <w:tcPr>
            <w:tcW w:w="1842" w:type="dxa"/>
            <w:tcBorders>
              <w:right w:val="single" w:sz="12" w:space="0" w:color="auto"/>
            </w:tcBorders>
          </w:tcPr>
          <w:p w:rsidR="006F3A0E" w:rsidRPr="00FD7DFE" w:rsidRDefault="006F3A0E" w:rsidP="006F3A0E">
            <w:pPr>
              <w:jc w:val="right"/>
              <w:rPr>
                <w:u w:val="none"/>
              </w:rPr>
            </w:pPr>
            <w:r w:rsidRPr="00FD7DFE">
              <w:rPr>
                <w:u w:val="none"/>
              </w:rPr>
              <w:t>34.600</w:t>
            </w:r>
          </w:p>
        </w:tc>
        <w:tc>
          <w:tcPr>
            <w:tcW w:w="1843" w:type="dxa"/>
            <w:tcBorders>
              <w:left w:val="single" w:sz="12" w:space="0" w:color="auto"/>
            </w:tcBorders>
          </w:tcPr>
          <w:p w:rsidR="006F3A0E" w:rsidRPr="00FD7DFE" w:rsidRDefault="006F3A0E" w:rsidP="006F3A0E">
            <w:pPr>
              <w:jc w:val="right"/>
              <w:rPr>
                <w:u w:val="none"/>
              </w:rPr>
            </w:pPr>
            <w:r w:rsidRPr="00FD7DFE">
              <w:rPr>
                <w:u w:val="none"/>
              </w:rPr>
              <w:t>44</w:t>
            </w:r>
          </w:p>
        </w:tc>
        <w:tc>
          <w:tcPr>
            <w:tcW w:w="1843" w:type="dxa"/>
            <w:tcBorders>
              <w:right w:val="single" w:sz="12" w:space="0" w:color="auto"/>
            </w:tcBorders>
          </w:tcPr>
          <w:p w:rsidR="006F3A0E" w:rsidRPr="00FD7DFE" w:rsidRDefault="006F3A0E" w:rsidP="006F3A0E">
            <w:pPr>
              <w:jc w:val="right"/>
              <w:rPr>
                <w:u w:val="none"/>
              </w:rPr>
            </w:pPr>
            <w:r w:rsidRPr="00FD7DFE">
              <w:rPr>
                <w:u w:val="none"/>
              </w:rPr>
              <w:t>58.900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Fosfór (P)</w:t>
            </w:r>
          </w:p>
        </w:tc>
        <w:tc>
          <w:tcPr>
            <w:tcW w:w="1842" w:type="dxa"/>
            <w:tcBorders>
              <w:left w:val="single" w:sz="12" w:space="0" w:color="auto"/>
            </w:tcBorders>
          </w:tcPr>
          <w:p w:rsidR="006F3A0E" w:rsidRPr="00FD7DFE" w:rsidRDefault="006F3A0E" w:rsidP="006F3A0E">
            <w:pPr>
              <w:jc w:val="right"/>
              <w:rPr>
                <w:u w:val="none"/>
              </w:rPr>
            </w:pPr>
            <w:r w:rsidRPr="00FD7DFE">
              <w:rPr>
                <w:u w:val="none"/>
              </w:rPr>
              <w:t>15</w:t>
            </w:r>
          </w:p>
        </w:tc>
        <w:tc>
          <w:tcPr>
            <w:tcW w:w="1842" w:type="dxa"/>
            <w:tcBorders>
              <w:right w:val="single" w:sz="12" w:space="0" w:color="auto"/>
            </w:tcBorders>
          </w:tcPr>
          <w:p w:rsidR="006F3A0E" w:rsidRPr="00FD7DFE" w:rsidRDefault="006F3A0E" w:rsidP="006F3A0E">
            <w:pPr>
              <w:jc w:val="right"/>
              <w:rPr>
                <w:u w:val="none"/>
              </w:rPr>
            </w:pPr>
            <w:r w:rsidRPr="00FD7DFE">
              <w:rPr>
                <w:u w:val="none"/>
              </w:rPr>
              <w:t>11.800</w:t>
            </w:r>
          </w:p>
        </w:tc>
        <w:tc>
          <w:tcPr>
            <w:tcW w:w="1843" w:type="dxa"/>
            <w:tcBorders>
              <w:left w:val="single" w:sz="12" w:space="0" w:color="auto"/>
            </w:tcBorders>
          </w:tcPr>
          <w:p w:rsidR="006F3A0E" w:rsidRPr="00FD7DFE" w:rsidRDefault="006F3A0E" w:rsidP="006F3A0E">
            <w:pPr>
              <w:jc w:val="right"/>
              <w:rPr>
                <w:u w:val="none"/>
              </w:rPr>
            </w:pPr>
            <w:r w:rsidRPr="00FD7DFE">
              <w:rPr>
                <w:u w:val="none"/>
              </w:rPr>
              <w:t>15</w:t>
            </w:r>
          </w:p>
        </w:tc>
        <w:tc>
          <w:tcPr>
            <w:tcW w:w="1843" w:type="dxa"/>
            <w:tcBorders>
              <w:right w:val="single" w:sz="12" w:space="0" w:color="auto"/>
            </w:tcBorders>
          </w:tcPr>
          <w:p w:rsidR="006F3A0E" w:rsidRPr="00FD7DFE" w:rsidRDefault="006F3A0E" w:rsidP="006F3A0E">
            <w:pPr>
              <w:jc w:val="right"/>
              <w:rPr>
                <w:u w:val="none"/>
              </w:rPr>
            </w:pPr>
            <w:r w:rsidRPr="00FD7DFE">
              <w:rPr>
                <w:u w:val="none"/>
              </w:rPr>
              <w:t>20.100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Ál (Al)</w:t>
            </w:r>
          </w:p>
        </w:tc>
        <w:tc>
          <w:tcPr>
            <w:tcW w:w="1842" w:type="dxa"/>
            <w:tcBorders>
              <w:left w:val="single" w:sz="12" w:space="0" w:color="auto"/>
            </w:tcBorders>
          </w:tcPr>
          <w:p w:rsidR="006F3A0E" w:rsidRPr="00FD7DFE" w:rsidRDefault="006F3A0E" w:rsidP="006F3A0E">
            <w:pPr>
              <w:jc w:val="right"/>
              <w:rPr>
                <w:u w:val="none"/>
              </w:rPr>
            </w:pPr>
            <w:r w:rsidRPr="00FD7DFE">
              <w:rPr>
                <w:u w:val="none"/>
              </w:rPr>
              <w:t>6</w:t>
            </w:r>
          </w:p>
        </w:tc>
        <w:tc>
          <w:tcPr>
            <w:tcW w:w="1842" w:type="dxa"/>
            <w:tcBorders>
              <w:right w:val="single" w:sz="12" w:space="0" w:color="auto"/>
            </w:tcBorders>
          </w:tcPr>
          <w:p w:rsidR="006F3A0E" w:rsidRPr="00FD7DFE" w:rsidRDefault="006F3A0E" w:rsidP="006F3A0E">
            <w:pPr>
              <w:jc w:val="right"/>
              <w:rPr>
                <w:u w:val="none"/>
              </w:rPr>
            </w:pPr>
            <w:r w:rsidRPr="00FD7DFE">
              <w:rPr>
                <w:u w:val="none"/>
              </w:rPr>
              <w:t>4.700</w:t>
            </w:r>
          </w:p>
        </w:tc>
        <w:tc>
          <w:tcPr>
            <w:tcW w:w="1843" w:type="dxa"/>
            <w:tcBorders>
              <w:left w:val="single" w:sz="12" w:space="0" w:color="auto"/>
            </w:tcBorders>
          </w:tcPr>
          <w:p w:rsidR="006F3A0E" w:rsidRPr="00FD7DFE" w:rsidRDefault="006F3A0E" w:rsidP="006F3A0E">
            <w:pPr>
              <w:jc w:val="right"/>
              <w:rPr>
                <w:u w:val="none"/>
              </w:rPr>
            </w:pPr>
            <w:r w:rsidRPr="00FD7DFE">
              <w:rPr>
                <w:u w:val="none"/>
              </w:rPr>
              <w:t>6</w:t>
            </w:r>
          </w:p>
        </w:tc>
        <w:tc>
          <w:tcPr>
            <w:tcW w:w="1843" w:type="dxa"/>
            <w:tcBorders>
              <w:right w:val="single" w:sz="12" w:space="0" w:color="auto"/>
            </w:tcBorders>
          </w:tcPr>
          <w:p w:rsidR="006F3A0E" w:rsidRPr="00FD7DFE" w:rsidRDefault="006F3A0E" w:rsidP="006F3A0E">
            <w:pPr>
              <w:jc w:val="right"/>
              <w:rPr>
                <w:u w:val="none"/>
              </w:rPr>
            </w:pPr>
            <w:r w:rsidRPr="00FD7DFE">
              <w:rPr>
                <w:u w:val="none"/>
              </w:rPr>
              <w:t>8.000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Natríum (</w:t>
            </w:r>
            <w:proofErr w:type="spellStart"/>
            <w:r w:rsidRPr="00FD7DFE">
              <w:rPr>
                <w:rFonts w:ascii="Calibri" w:hAnsi="Calibri" w:cs="Calibri"/>
                <w:b/>
                <w:color w:val="000000"/>
                <w:sz w:val="18"/>
                <w:szCs w:val="18"/>
                <w:u w:val="none"/>
              </w:rPr>
              <w:t>Na</w:t>
            </w:r>
            <w:proofErr w:type="spellEnd"/>
            <w:r w:rsidRPr="00FD7DFE">
              <w:rPr>
                <w:rFonts w:ascii="Calibri" w:hAnsi="Calibri" w:cs="Calibri"/>
                <w:b/>
                <w:color w:val="000000"/>
                <w:sz w:val="18"/>
                <w:szCs w:val="18"/>
                <w:u w:val="none"/>
              </w:rPr>
              <w:t>)</w:t>
            </w:r>
          </w:p>
        </w:tc>
        <w:tc>
          <w:tcPr>
            <w:tcW w:w="1842" w:type="dxa"/>
            <w:tcBorders>
              <w:left w:val="single" w:sz="12" w:space="0" w:color="auto"/>
            </w:tcBorders>
          </w:tcPr>
          <w:p w:rsidR="006F3A0E" w:rsidRPr="00FD7DFE" w:rsidRDefault="006F3A0E" w:rsidP="006F3A0E">
            <w:pPr>
              <w:jc w:val="right"/>
              <w:rPr>
                <w:u w:val="none"/>
              </w:rPr>
            </w:pPr>
            <w:r w:rsidRPr="00FD7DFE">
              <w:rPr>
                <w:u w:val="none"/>
              </w:rPr>
              <w:t>80</w:t>
            </w:r>
          </w:p>
        </w:tc>
        <w:tc>
          <w:tcPr>
            <w:tcW w:w="1842" w:type="dxa"/>
            <w:tcBorders>
              <w:right w:val="single" w:sz="12" w:space="0" w:color="auto"/>
            </w:tcBorders>
          </w:tcPr>
          <w:p w:rsidR="006F3A0E" w:rsidRPr="00FD7DFE" w:rsidRDefault="006F3A0E" w:rsidP="006F3A0E">
            <w:pPr>
              <w:jc w:val="right"/>
              <w:rPr>
                <w:u w:val="none"/>
              </w:rPr>
            </w:pPr>
            <w:r w:rsidRPr="00FD7DFE">
              <w:rPr>
                <w:u w:val="none"/>
              </w:rPr>
              <w:t>62.900</w:t>
            </w:r>
          </w:p>
        </w:tc>
        <w:tc>
          <w:tcPr>
            <w:tcW w:w="1843" w:type="dxa"/>
            <w:tcBorders>
              <w:left w:val="single" w:sz="12" w:space="0" w:color="auto"/>
            </w:tcBorders>
          </w:tcPr>
          <w:p w:rsidR="006F3A0E" w:rsidRPr="00FD7DFE" w:rsidRDefault="006F3A0E" w:rsidP="006F3A0E">
            <w:pPr>
              <w:jc w:val="right"/>
              <w:rPr>
                <w:u w:val="none"/>
              </w:rPr>
            </w:pPr>
            <w:r w:rsidRPr="00FD7DFE">
              <w:rPr>
                <w:u w:val="none"/>
              </w:rPr>
              <w:t>80</w:t>
            </w:r>
          </w:p>
        </w:tc>
        <w:tc>
          <w:tcPr>
            <w:tcW w:w="1843" w:type="dxa"/>
            <w:tcBorders>
              <w:right w:val="single" w:sz="12" w:space="0" w:color="auto"/>
            </w:tcBorders>
          </w:tcPr>
          <w:p w:rsidR="006F3A0E" w:rsidRPr="00FD7DFE" w:rsidRDefault="006F3A0E" w:rsidP="006F3A0E">
            <w:pPr>
              <w:jc w:val="right"/>
              <w:rPr>
                <w:u w:val="none"/>
              </w:rPr>
            </w:pPr>
            <w:r w:rsidRPr="00FD7DFE">
              <w:rPr>
                <w:u w:val="none"/>
              </w:rPr>
              <w:t>107.100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proofErr w:type="spellStart"/>
            <w:r w:rsidRPr="00FD7DFE">
              <w:rPr>
                <w:rFonts w:ascii="Calibri" w:hAnsi="Calibri" w:cs="Calibri"/>
                <w:b/>
                <w:color w:val="000000"/>
                <w:sz w:val="18"/>
                <w:szCs w:val="18"/>
                <w:u w:val="none"/>
              </w:rPr>
              <w:t>Klór</w:t>
            </w:r>
            <w:proofErr w:type="spellEnd"/>
            <w:r w:rsidRPr="00FD7DFE">
              <w:rPr>
                <w:rFonts w:ascii="Calibri" w:hAnsi="Calibri" w:cs="Calibri"/>
                <w:b/>
                <w:color w:val="000000"/>
                <w:sz w:val="18"/>
                <w:szCs w:val="18"/>
                <w:u w:val="none"/>
              </w:rPr>
              <w:t xml:space="preserve"> (Cl)</w:t>
            </w:r>
          </w:p>
        </w:tc>
        <w:tc>
          <w:tcPr>
            <w:tcW w:w="1842" w:type="dxa"/>
            <w:tcBorders>
              <w:left w:val="single" w:sz="12" w:space="0" w:color="auto"/>
            </w:tcBorders>
          </w:tcPr>
          <w:p w:rsidR="006F3A0E" w:rsidRPr="00FD7DFE" w:rsidRDefault="006F3A0E" w:rsidP="006F3A0E">
            <w:pPr>
              <w:jc w:val="right"/>
              <w:rPr>
                <w:u w:val="none"/>
              </w:rPr>
            </w:pPr>
            <w:r w:rsidRPr="00FD7DFE">
              <w:rPr>
                <w:u w:val="none"/>
              </w:rPr>
              <w:t>51</w:t>
            </w:r>
          </w:p>
        </w:tc>
        <w:tc>
          <w:tcPr>
            <w:tcW w:w="1842" w:type="dxa"/>
            <w:tcBorders>
              <w:right w:val="single" w:sz="12" w:space="0" w:color="auto"/>
            </w:tcBorders>
          </w:tcPr>
          <w:p w:rsidR="006F3A0E" w:rsidRPr="00FD7DFE" w:rsidRDefault="006F3A0E" w:rsidP="006F3A0E">
            <w:pPr>
              <w:jc w:val="right"/>
              <w:rPr>
                <w:u w:val="none"/>
              </w:rPr>
            </w:pPr>
            <w:r w:rsidRPr="00FD7DFE">
              <w:rPr>
                <w:u w:val="none"/>
              </w:rPr>
              <w:t>40.100</w:t>
            </w:r>
          </w:p>
        </w:tc>
        <w:tc>
          <w:tcPr>
            <w:tcW w:w="1843" w:type="dxa"/>
            <w:tcBorders>
              <w:left w:val="single" w:sz="12" w:space="0" w:color="auto"/>
            </w:tcBorders>
          </w:tcPr>
          <w:p w:rsidR="006F3A0E" w:rsidRPr="00FD7DFE" w:rsidRDefault="006F3A0E" w:rsidP="006F3A0E">
            <w:pPr>
              <w:jc w:val="right"/>
              <w:rPr>
                <w:u w:val="none"/>
              </w:rPr>
            </w:pPr>
            <w:r w:rsidRPr="00FD7DFE">
              <w:rPr>
                <w:u w:val="none"/>
              </w:rPr>
              <w:t>51</w:t>
            </w:r>
          </w:p>
        </w:tc>
        <w:tc>
          <w:tcPr>
            <w:tcW w:w="1843" w:type="dxa"/>
            <w:tcBorders>
              <w:right w:val="single" w:sz="12" w:space="0" w:color="auto"/>
            </w:tcBorders>
          </w:tcPr>
          <w:p w:rsidR="006F3A0E" w:rsidRPr="00FD7DFE" w:rsidRDefault="006F3A0E" w:rsidP="006F3A0E">
            <w:pPr>
              <w:jc w:val="right"/>
              <w:rPr>
                <w:u w:val="none"/>
              </w:rPr>
            </w:pPr>
            <w:r w:rsidRPr="00FD7DFE">
              <w:rPr>
                <w:u w:val="none"/>
              </w:rPr>
              <w:t>68.300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Nitur (N)</w:t>
            </w:r>
          </w:p>
        </w:tc>
        <w:tc>
          <w:tcPr>
            <w:tcW w:w="1842" w:type="dxa"/>
            <w:tcBorders>
              <w:left w:val="single" w:sz="12" w:space="0" w:color="auto"/>
            </w:tcBorders>
          </w:tcPr>
          <w:p w:rsidR="006F3A0E" w:rsidRPr="00FD7DFE" w:rsidRDefault="006F3A0E" w:rsidP="006F3A0E">
            <w:pPr>
              <w:jc w:val="right"/>
              <w:rPr>
                <w:u w:val="none"/>
              </w:rPr>
            </w:pPr>
            <w:r w:rsidRPr="00FD7DFE">
              <w:rPr>
                <w:u w:val="none"/>
              </w:rPr>
              <w:t>3,1</w:t>
            </w:r>
          </w:p>
        </w:tc>
        <w:tc>
          <w:tcPr>
            <w:tcW w:w="1842" w:type="dxa"/>
            <w:tcBorders>
              <w:right w:val="single" w:sz="12" w:space="0" w:color="auto"/>
            </w:tcBorders>
          </w:tcPr>
          <w:p w:rsidR="006F3A0E" w:rsidRPr="00FD7DFE" w:rsidRDefault="006F3A0E" w:rsidP="006F3A0E">
            <w:pPr>
              <w:jc w:val="right"/>
              <w:rPr>
                <w:u w:val="none"/>
              </w:rPr>
            </w:pPr>
            <w:r w:rsidRPr="00FD7DFE">
              <w:rPr>
                <w:u w:val="none"/>
              </w:rPr>
              <w:t>2.400</w:t>
            </w:r>
          </w:p>
        </w:tc>
        <w:tc>
          <w:tcPr>
            <w:tcW w:w="1843" w:type="dxa"/>
            <w:tcBorders>
              <w:left w:val="single" w:sz="12" w:space="0" w:color="auto"/>
            </w:tcBorders>
          </w:tcPr>
          <w:p w:rsidR="006F3A0E" w:rsidRPr="00FD7DFE" w:rsidRDefault="006F3A0E" w:rsidP="006F3A0E">
            <w:pPr>
              <w:jc w:val="right"/>
              <w:rPr>
                <w:u w:val="none"/>
              </w:rPr>
            </w:pPr>
            <w:r w:rsidRPr="00FD7DFE">
              <w:rPr>
                <w:u w:val="none"/>
              </w:rPr>
              <w:t>3,1</w:t>
            </w:r>
          </w:p>
        </w:tc>
        <w:tc>
          <w:tcPr>
            <w:tcW w:w="1843" w:type="dxa"/>
            <w:tcBorders>
              <w:right w:val="single" w:sz="12" w:space="0" w:color="auto"/>
            </w:tcBorders>
          </w:tcPr>
          <w:p w:rsidR="006F3A0E" w:rsidRPr="00FD7DFE" w:rsidRDefault="006F3A0E" w:rsidP="006F3A0E">
            <w:pPr>
              <w:jc w:val="right"/>
              <w:rPr>
                <w:u w:val="none"/>
              </w:rPr>
            </w:pPr>
            <w:r w:rsidRPr="00FD7DFE">
              <w:rPr>
                <w:u w:val="none"/>
              </w:rPr>
              <w:t>4.200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proofErr w:type="spellStart"/>
            <w:r w:rsidRPr="00FD7DFE">
              <w:rPr>
                <w:rFonts w:ascii="Calibri" w:hAnsi="Calibri" w:cs="Calibri"/>
                <w:b/>
                <w:color w:val="000000"/>
                <w:sz w:val="18"/>
                <w:szCs w:val="18"/>
                <w:u w:val="none"/>
              </w:rPr>
              <w:t>Breinnisteinn</w:t>
            </w:r>
            <w:proofErr w:type="spellEnd"/>
            <w:r w:rsidRPr="00FD7DFE">
              <w:rPr>
                <w:rFonts w:ascii="Calibri" w:hAnsi="Calibri" w:cs="Calibri"/>
                <w:b/>
                <w:color w:val="000000"/>
                <w:sz w:val="18"/>
                <w:szCs w:val="18"/>
                <w:u w:val="none"/>
              </w:rPr>
              <w:t xml:space="preserve"> (S)</w:t>
            </w:r>
          </w:p>
        </w:tc>
        <w:tc>
          <w:tcPr>
            <w:tcW w:w="1842" w:type="dxa"/>
            <w:tcBorders>
              <w:left w:val="single" w:sz="12" w:space="0" w:color="auto"/>
            </w:tcBorders>
          </w:tcPr>
          <w:p w:rsidR="006F3A0E" w:rsidRPr="00FD7DFE" w:rsidRDefault="006F3A0E" w:rsidP="006F3A0E">
            <w:pPr>
              <w:jc w:val="right"/>
              <w:rPr>
                <w:u w:val="none"/>
              </w:rPr>
            </w:pPr>
            <w:r w:rsidRPr="00FD7DFE">
              <w:rPr>
                <w:u w:val="none"/>
              </w:rPr>
              <w:t>0,6</w:t>
            </w:r>
          </w:p>
        </w:tc>
        <w:tc>
          <w:tcPr>
            <w:tcW w:w="1842" w:type="dxa"/>
            <w:tcBorders>
              <w:right w:val="single" w:sz="12" w:space="0" w:color="auto"/>
            </w:tcBorders>
          </w:tcPr>
          <w:p w:rsidR="006F3A0E" w:rsidRPr="00FD7DFE" w:rsidRDefault="006F3A0E" w:rsidP="006F3A0E">
            <w:pPr>
              <w:jc w:val="right"/>
              <w:rPr>
                <w:u w:val="none"/>
              </w:rPr>
            </w:pPr>
            <w:r w:rsidRPr="00FD7DFE">
              <w:rPr>
                <w:u w:val="none"/>
              </w:rPr>
              <w:t>470</w:t>
            </w:r>
          </w:p>
        </w:tc>
        <w:tc>
          <w:tcPr>
            <w:tcW w:w="1843" w:type="dxa"/>
            <w:tcBorders>
              <w:left w:val="single" w:sz="12" w:space="0" w:color="auto"/>
            </w:tcBorders>
          </w:tcPr>
          <w:p w:rsidR="006F3A0E" w:rsidRPr="00FD7DFE" w:rsidRDefault="006F3A0E" w:rsidP="006F3A0E">
            <w:pPr>
              <w:jc w:val="right"/>
              <w:rPr>
                <w:u w:val="none"/>
              </w:rPr>
            </w:pPr>
            <w:r w:rsidRPr="00FD7DFE">
              <w:rPr>
                <w:u w:val="none"/>
              </w:rPr>
              <w:t>0,6</w:t>
            </w:r>
          </w:p>
        </w:tc>
        <w:tc>
          <w:tcPr>
            <w:tcW w:w="1843" w:type="dxa"/>
            <w:tcBorders>
              <w:right w:val="single" w:sz="12" w:space="0" w:color="auto"/>
            </w:tcBorders>
          </w:tcPr>
          <w:p w:rsidR="006F3A0E" w:rsidRPr="00FD7DFE" w:rsidRDefault="006F3A0E" w:rsidP="006F3A0E">
            <w:pPr>
              <w:jc w:val="right"/>
              <w:rPr>
                <w:u w:val="none"/>
              </w:rPr>
            </w:pPr>
            <w:r w:rsidRPr="00FD7DFE">
              <w:rPr>
                <w:u w:val="none"/>
              </w:rPr>
              <w:t>800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Bór (B)</w:t>
            </w:r>
          </w:p>
        </w:tc>
        <w:tc>
          <w:tcPr>
            <w:tcW w:w="1842" w:type="dxa"/>
            <w:tcBorders>
              <w:left w:val="single" w:sz="12" w:space="0" w:color="auto"/>
            </w:tcBorders>
          </w:tcPr>
          <w:p w:rsidR="006F3A0E" w:rsidRPr="00FD7DFE" w:rsidRDefault="006F3A0E" w:rsidP="006F3A0E">
            <w:pPr>
              <w:jc w:val="right"/>
              <w:rPr>
                <w:u w:val="none"/>
              </w:rPr>
            </w:pPr>
            <w:r w:rsidRPr="00FD7DFE">
              <w:rPr>
                <w:u w:val="none"/>
              </w:rPr>
              <w:t>13</w:t>
            </w:r>
          </w:p>
        </w:tc>
        <w:tc>
          <w:tcPr>
            <w:tcW w:w="1842" w:type="dxa"/>
            <w:tcBorders>
              <w:right w:val="single" w:sz="12" w:space="0" w:color="auto"/>
            </w:tcBorders>
          </w:tcPr>
          <w:p w:rsidR="006F3A0E" w:rsidRPr="00FD7DFE" w:rsidRDefault="006F3A0E" w:rsidP="006F3A0E">
            <w:pPr>
              <w:jc w:val="right"/>
              <w:rPr>
                <w:u w:val="none"/>
              </w:rPr>
            </w:pPr>
            <w:r w:rsidRPr="00FD7DFE">
              <w:rPr>
                <w:u w:val="none"/>
              </w:rPr>
              <w:t>10.221</w:t>
            </w:r>
          </w:p>
        </w:tc>
        <w:tc>
          <w:tcPr>
            <w:tcW w:w="1843" w:type="dxa"/>
            <w:tcBorders>
              <w:left w:val="single" w:sz="12" w:space="0" w:color="auto"/>
            </w:tcBorders>
          </w:tcPr>
          <w:p w:rsidR="006F3A0E" w:rsidRPr="00FD7DFE" w:rsidRDefault="006F3A0E" w:rsidP="006F3A0E">
            <w:pPr>
              <w:jc w:val="right"/>
              <w:rPr>
                <w:u w:val="none"/>
              </w:rPr>
            </w:pPr>
            <w:r w:rsidRPr="00FD7DFE">
              <w:rPr>
                <w:u w:val="none"/>
              </w:rPr>
              <w:t>13</w:t>
            </w:r>
          </w:p>
        </w:tc>
        <w:tc>
          <w:tcPr>
            <w:tcW w:w="1843" w:type="dxa"/>
            <w:tcBorders>
              <w:right w:val="single" w:sz="12" w:space="0" w:color="auto"/>
            </w:tcBorders>
          </w:tcPr>
          <w:p w:rsidR="006F3A0E" w:rsidRPr="00FD7DFE" w:rsidRDefault="006F3A0E" w:rsidP="006F3A0E">
            <w:pPr>
              <w:jc w:val="right"/>
              <w:rPr>
                <w:u w:val="none"/>
              </w:rPr>
            </w:pPr>
            <w:r w:rsidRPr="00FD7DFE">
              <w:rPr>
                <w:u w:val="none"/>
              </w:rPr>
              <w:t>17.400</w:t>
            </w:r>
          </w:p>
        </w:tc>
      </w:tr>
      <w:tr w:rsidR="006F3A0E" w:rsidRPr="00E018DF" w:rsidTr="006F3A0E">
        <w:tc>
          <w:tcPr>
            <w:tcW w:w="1842" w:type="dxa"/>
            <w:tcBorders>
              <w:left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 xml:space="preserve">EDTA </w:t>
            </w:r>
          </w:p>
        </w:tc>
        <w:tc>
          <w:tcPr>
            <w:tcW w:w="1842" w:type="dxa"/>
            <w:tcBorders>
              <w:left w:val="single" w:sz="12" w:space="0" w:color="auto"/>
            </w:tcBorders>
          </w:tcPr>
          <w:p w:rsidR="006F3A0E" w:rsidRPr="00FD7DFE" w:rsidRDefault="006F3A0E" w:rsidP="006F3A0E">
            <w:pPr>
              <w:jc w:val="right"/>
              <w:rPr>
                <w:u w:val="none"/>
              </w:rPr>
            </w:pPr>
            <w:r w:rsidRPr="00FD7DFE">
              <w:rPr>
                <w:u w:val="none"/>
              </w:rPr>
              <w:t>0,9</w:t>
            </w:r>
          </w:p>
        </w:tc>
        <w:tc>
          <w:tcPr>
            <w:tcW w:w="1842" w:type="dxa"/>
            <w:tcBorders>
              <w:right w:val="single" w:sz="12" w:space="0" w:color="auto"/>
            </w:tcBorders>
          </w:tcPr>
          <w:p w:rsidR="006F3A0E" w:rsidRPr="00FD7DFE" w:rsidRDefault="006F3A0E" w:rsidP="006F3A0E">
            <w:pPr>
              <w:jc w:val="right"/>
              <w:rPr>
                <w:u w:val="none"/>
              </w:rPr>
            </w:pPr>
            <w:r w:rsidRPr="00FD7DFE">
              <w:rPr>
                <w:u w:val="none"/>
              </w:rPr>
              <w:t>710</w:t>
            </w:r>
          </w:p>
        </w:tc>
        <w:tc>
          <w:tcPr>
            <w:tcW w:w="1843" w:type="dxa"/>
            <w:tcBorders>
              <w:left w:val="single" w:sz="12" w:space="0" w:color="auto"/>
            </w:tcBorders>
          </w:tcPr>
          <w:p w:rsidR="006F3A0E" w:rsidRPr="00FD7DFE" w:rsidRDefault="006F3A0E" w:rsidP="006F3A0E">
            <w:pPr>
              <w:jc w:val="right"/>
              <w:rPr>
                <w:u w:val="none"/>
              </w:rPr>
            </w:pPr>
            <w:r w:rsidRPr="00FD7DFE">
              <w:rPr>
                <w:u w:val="none"/>
              </w:rPr>
              <w:t>0,9</w:t>
            </w:r>
          </w:p>
        </w:tc>
        <w:tc>
          <w:tcPr>
            <w:tcW w:w="1843" w:type="dxa"/>
            <w:tcBorders>
              <w:right w:val="single" w:sz="12" w:space="0" w:color="auto"/>
            </w:tcBorders>
          </w:tcPr>
          <w:p w:rsidR="006F3A0E" w:rsidRPr="00FD7DFE" w:rsidRDefault="006F3A0E" w:rsidP="006F3A0E">
            <w:pPr>
              <w:jc w:val="right"/>
              <w:rPr>
                <w:u w:val="none"/>
              </w:rPr>
            </w:pPr>
            <w:r w:rsidRPr="00FD7DFE">
              <w:rPr>
                <w:u w:val="none"/>
              </w:rPr>
              <w:t>1.200</w:t>
            </w:r>
          </w:p>
        </w:tc>
      </w:tr>
      <w:tr w:rsidR="006F3A0E" w:rsidRPr="00E018DF" w:rsidTr="006F3A0E">
        <w:tc>
          <w:tcPr>
            <w:tcW w:w="1842" w:type="dxa"/>
            <w:tcBorders>
              <w:left w:val="single" w:sz="12" w:space="0" w:color="auto"/>
              <w:bottom w:val="single" w:sz="12" w:space="0" w:color="auto"/>
              <w:right w:val="single" w:sz="12" w:space="0" w:color="auto"/>
            </w:tcBorders>
            <w:vAlign w:val="bottom"/>
          </w:tcPr>
          <w:p w:rsidR="006F3A0E" w:rsidRPr="00FD7DFE" w:rsidRDefault="006F3A0E" w:rsidP="006F3A0E">
            <w:pPr>
              <w:rPr>
                <w:rFonts w:ascii="Calibri" w:hAnsi="Calibri" w:cs="Calibri"/>
                <w:b/>
                <w:color w:val="000000"/>
                <w:sz w:val="18"/>
                <w:szCs w:val="18"/>
                <w:u w:val="none"/>
              </w:rPr>
            </w:pPr>
            <w:r w:rsidRPr="00FD7DFE">
              <w:rPr>
                <w:rFonts w:ascii="Calibri" w:hAnsi="Calibri" w:cs="Calibri"/>
                <w:b/>
                <w:color w:val="000000"/>
                <w:sz w:val="18"/>
                <w:szCs w:val="18"/>
                <w:u w:val="none"/>
              </w:rPr>
              <w:t>Kvikasilfur (</w:t>
            </w:r>
            <w:proofErr w:type="spellStart"/>
            <w:r w:rsidRPr="00FD7DFE">
              <w:rPr>
                <w:rFonts w:ascii="Calibri" w:hAnsi="Calibri" w:cs="Calibri"/>
                <w:b/>
                <w:color w:val="000000"/>
                <w:sz w:val="18"/>
                <w:szCs w:val="18"/>
                <w:u w:val="none"/>
              </w:rPr>
              <w:t>Hg</w:t>
            </w:r>
            <w:proofErr w:type="spellEnd"/>
            <w:r w:rsidRPr="00FD7DFE">
              <w:rPr>
                <w:rFonts w:ascii="Calibri" w:hAnsi="Calibri" w:cs="Calibri"/>
                <w:b/>
                <w:color w:val="000000"/>
                <w:sz w:val="18"/>
                <w:szCs w:val="18"/>
                <w:u w:val="none"/>
              </w:rPr>
              <w:t>)</w:t>
            </w:r>
          </w:p>
        </w:tc>
        <w:tc>
          <w:tcPr>
            <w:tcW w:w="1842" w:type="dxa"/>
            <w:tcBorders>
              <w:left w:val="single" w:sz="12" w:space="0" w:color="auto"/>
              <w:bottom w:val="single" w:sz="12" w:space="0" w:color="auto"/>
              <w:right w:val="single" w:sz="4" w:space="0" w:color="auto"/>
            </w:tcBorders>
          </w:tcPr>
          <w:p w:rsidR="006F3A0E" w:rsidRPr="00FD7DFE" w:rsidRDefault="006F3A0E" w:rsidP="006F3A0E">
            <w:pPr>
              <w:jc w:val="right"/>
              <w:rPr>
                <w:u w:val="none"/>
              </w:rPr>
            </w:pPr>
            <w:r w:rsidRPr="00FD7DFE">
              <w:rPr>
                <w:u w:val="none"/>
              </w:rPr>
              <w:t>0,00009</w:t>
            </w:r>
          </w:p>
        </w:tc>
        <w:tc>
          <w:tcPr>
            <w:tcW w:w="1842" w:type="dxa"/>
            <w:tcBorders>
              <w:left w:val="single" w:sz="4" w:space="0" w:color="auto"/>
              <w:bottom w:val="single" w:sz="12" w:space="0" w:color="auto"/>
              <w:right w:val="single" w:sz="12" w:space="0" w:color="auto"/>
            </w:tcBorders>
          </w:tcPr>
          <w:p w:rsidR="006F3A0E" w:rsidRPr="00FD7DFE" w:rsidRDefault="006F3A0E" w:rsidP="006F3A0E">
            <w:pPr>
              <w:jc w:val="right"/>
              <w:rPr>
                <w:u w:val="none"/>
              </w:rPr>
            </w:pPr>
            <w:r w:rsidRPr="00FD7DFE">
              <w:rPr>
                <w:u w:val="none"/>
              </w:rPr>
              <w:t>0,07</w:t>
            </w:r>
          </w:p>
        </w:tc>
        <w:tc>
          <w:tcPr>
            <w:tcW w:w="1843" w:type="dxa"/>
            <w:tcBorders>
              <w:left w:val="single" w:sz="12" w:space="0" w:color="auto"/>
              <w:bottom w:val="single" w:sz="12" w:space="0" w:color="auto"/>
            </w:tcBorders>
          </w:tcPr>
          <w:p w:rsidR="006F3A0E" w:rsidRPr="00FD7DFE" w:rsidRDefault="006F3A0E" w:rsidP="006F3A0E">
            <w:pPr>
              <w:jc w:val="right"/>
              <w:rPr>
                <w:u w:val="none"/>
              </w:rPr>
            </w:pPr>
            <w:r w:rsidRPr="00FD7DFE">
              <w:rPr>
                <w:u w:val="none"/>
              </w:rPr>
              <w:t>0,00009</w:t>
            </w:r>
          </w:p>
        </w:tc>
        <w:tc>
          <w:tcPr>
            <w:tcW w:w="1843" w:type="dxa"/>
            <w:tcBorders>
              <w:bottom w:val="single" w:sz="12" w:space="0" w:color="auto"/>
              <w:right w:val="single" w:sz="12" w:space="0" w:color="auto"/>
            </w:tcBorders>
          </w:tcPr>
          <w:p w:rsidR="006F3A0E" w:rsidRPr="00FD7DFE" w:rsidRDefault="006F3A0E" w:rsidP="006F3A0E">
            <w:pPr>
              <w:jc w:val="right"/>
              <w:rPr>
                <w:u w:val="none"/>
              </w:rPr>
            </w:pPr>
            <w:r w:rsidRPr="00FD7DFE">
              <w:rPr>
                <w:u w:val="none"/>
              </w:rPr>
              <w:t>0,12</w:t>
            </w:r>
          </w:p>
        </w:tc>
      </w:tr>
    </w:tbl>
    <w:p w:rsidR="00B527EC" w:rsidRPr="00B527EC" w:rsidRDefault="00B527EC" w:rsidP="00C22A90">
      <w:pPr>
        <w:spacing w:before="120"/>
        <w:rPr>
          <w:rFonts w:cs="Times New Roman"/>
          <w:sz w:val="18"/>
          <w:szCs w:val="18"/>
          <w:u w:val="none"/>
        </w:rPr>
      </w:pPr>
      <w:r w:rsidRPr="00B527EC">
        <w:rPr>
          <w:rFonts w:cs="Times New Roman"/>
          <w:sz w:val="18"/>
          <w:szCs w:val="18"/>
          <w:u w:val="none"/>
        </w:rPr>
        <w:t>*áætlaður styrkur út frá mældum gildum fyrir núverandi rekstur</w:t>
      </w:r>
    </w:p>
    <w:p w:rsidR="00CF6EA0" w:rsidRPr="00E018DF" w:rsidRDefault="0091579B" w:rsidP="00C22A90">
      <w:pPr>
        <w:spacing w:before="120"/>
        <w:rPr>
          <w:rFonts w:cs="Times New Roman"/>
          <w:u w:val="none"/>
        </w:rPr>
      </w:pPr>
      <w:r w:rsidRPr="00E018DF">
        <w:rPr>
          <w:rFonts w:cs="Times New Roman"/>
          <w:u w:val="none"/>
        </w:rPr>
        <w:t xml:space="preserve">Sá efnisþáttur sem helst er horft til </w:t>
      </w:r>
      <w:r w:rsidR="00603502" w:rsidRPr="00E018DF">
        <w:rPr>
          <w:rFonts w:cs="Times New Roman"/>
          <w:u w:val="none"/>
        </w:rPr>
        <w:t xml:space="preserve">vegna umhverfisáhrifa í Eyjafirði er fosfór. Heildarmagn </w:t>
      </w:r>
      <w:r w:rsidR="00E018DF">
        <w:rPr>
          <w:rFonts w:cs="Times New Roman"/>
          <w:u w:val="none"/>
        </w:rPr>
        <w:t>fo</w:t>
      </w:r>
      <w:r w:rsidR="00CF6EA0" w:rsidRPr="00E018DF">
        <w:rPr>
          <w:rFonts w:cs="Times New Roman"/>
          <w:u w:val="none"/>
        </w:rPr>
        <w:t xml:space="preserve">sfórs </w:t>
      </w:r>
      <w:r w:rsidR="00603502" w:rsidRPr="00E018DF">
        <w:rPr>
          <w:rFonts w:cs="Times New Roman"/>
          <w:u w:val="none"/>
        </w:rPr>
        <w:t>s</w:t>
      </w:r>
      <w:r w:rsidR="00E72305">
        <w:rPr>
          <w:rFonts w:cs="Times New Roman"/>
          <w:u w:val="none"/>
        </w:rPr>
        <w:t>em losað er út í Eyjafjörð, samanlagt</w:t>
      </w:r>
      <w:r w:rsidR="00603502" w:rsidRPr="00E018DF">
        <w:rPr>
          <w:rFonts w:cs="Times New Roman"/>
          <w:u w:val="none"/>
        </w:rPr>
        <w:t xml:space="preserve"> frá Akureyrarbæ og </w:t>
      </w:r>
      <w:proofErr w:type="spellStart"/>
      <w:r w:rsidR="00603502" w:rsidRPr="00E018DF">
        <w:rPr>
          <w:rFonts w:cs="Times New Roman"/>
          <w:u w:val="none"/>
        </w:rPr>
        <w:t>Becromal</w:t>
      </w:r>
      <w:proofErr w:type="spellEnd"/>
      <w:r w:rsidR="00E72305">
        <w:rPr>
          <w:rFonts w:cs="Times New Roman"/>
          <w:u w:val="none"/>
        </w:rPr>
        <w:t>,</w:t>
      </w:r>
      <w:r w:rsidR="00603502" w:rsidRPr="00E018DF">
        <w:rPr>
          <w:rFonts w:cs="Times New Roman"/>
          <w:u w:val="none"/>
        </w:rPr>
        <w:t xml:space="preserve"> ey</w:t>
      </w:r>
      <w:r w:rsidR="00CF6EA0" w:rsidRPr="00E018DF">
        <w:rPr>
          <w:rFonts w:cs="Times New Roman"/>
          <w:u w:val="none"/>
        </w:rPr>
        <w:t>k</w:t>
      </w:r>
      <w:r w:rsidR="00FD7DFE">
        <w:rPr>
          <w:rFonts w:cs="Times New Roman"/>
          <w:u w:val="none"/>
        </w:rPr>
        <w:t>s</w:t>
      </w:r>
      <w:r w:rsidR="00CF6EA0" w:rsidRPr="00E018DF">
        <w:rPr>
          <w:rFonts w:cs="Times New Roman"/>
          <w:u w:val="none"/>
        </w:rPr>
        <w:t>t um 14 %</w:t>
      </w:r>
      <w:r w:rsidRPr="00E018DF">
        <w:rPr>
          <w:rFonts w:cs="Times New Roman"/>
          <w:u w:val="none"/>
        </w:rPr>
        <w:t xml:space="preserve"> </w:t>
      </w:r>
      <w:r w:rsidR="00603502" w:rsidRPr="00E018DF">
        <w:rPr>
          <w:rFonts w:cs="Times New Roman"/>
          <w:u w:val="none"/>
        </w:rPr>
        <w:t>við stækkun verksmiðjunnar. Við þúsundfalda þynningu f</w:t>
      </w:r>
      <w:r w:rsidR="00E72305">
        <w:rPr>
          <w:rFonts w:cs="Times New Roman"/>
          <w:u w:val="none"/>
        </w:rPr>
        <w:t>osfórs fellur styrkur hans töluvert</w:t>
      </w:r>
      <w:r w:rsidR="00603502" w:rsidRPr="00E018DF">
        <w:rPr>
          <w:rFonts w:cs="Times New Roman"/>
          <w:u w:val="none"/>
        </w:rPr>
        <w:t xml:space="preserve"> undir </w:t>
      </w:r>
      <w:r w:rsidR="0084445E" w:rsidRPr="00E018DF">
        <w:rPr>
          <w:rFonts w:cs="Times New Roman"/>
          <w:u w:val="none"/>
        </w:rPr>
        <w:t xml:space="preserve">bakgrunnsgildi sjávar eða </w:t>
      </w:r>
      <w:r w:rsidR="00603502" w:rsidRPr="00E018DF">
        <w:rPr>
          <w:rFonts w:cs="Times New Roman"/>
          <w:u w:val="none"/>
        </w:rPr>
        <w:t xml:space="preserve">í </w:t>
      </w:r>
      <w:r w:rsidR="006F3A0E" w:rsidRPr="00E018DF">
        <w:rPr>
          <w:rFonts w:cs="Times New Roman"/>
          <w:u w:val="none"/>
        </w:rPr>
        <w:t>0,0044 mg/L</w:t>
      </w:r>
      <w:r w:rsidR="00603502" w:rsidRPr="00E018DF">
        <w:rPr>
          <w:rFonts w:cs="Times New Roman"/>
          <w:u w:val="none"/>
        </w:rPr>
        <w:t xml:space="preserve"> (bakgrunnsgildi </w:t>
      </w:r>
      <w:r w:rsidR="006F3A0E" w:rsidRPr="00E018DF">
        <w:rPr>
          <w:rFonts w:cs="Times New Roman"/>
          <w:u w:val="none"/>
        </w:rPr>
        <w:t xml:space="preserve">fosfórs í sjó </w:t>
      </w:r>
      <w:r w:rsidR="00603502" w:rsidRPr="00E018DF">
        <w:rPr>
          <w:rFonts w:cs="Times New Roman"/>
          <w:u w:val="none"/>
        </w:rPr>
        <w:t xml:space="preserve">er </w:t>
      </w:r>
      <w:r w:rsidR="006F3A0E" w:rsidRPr="00E018DF">
        <w:rPr>
          <w:rFonts w:cs="Times New Roman"/>
          <w:u w:val="none"/>
        </w:rPr>
        <w:t>0,020</w:t>
      </w:r>
      <w:r w:rsidR="00603502" w:rsidRPr="00E018DF">
        <w:rPr>
          <w:rFonts w:cs="Times New Roman"/>
          <w:u w:val="none"/>
        </w:rPr>
        <w:t xml:space="preserve">1 </w:t>
      </w:r>
      <w:r w:rsidR="006F3A0E" w:rsidRPr="00E018DF">
        <w:rPr>
          <w:rFonts w:cs="Times New Roman"/>
          <w:u w:val="none"/>
        </w:rPr>
        <w:t>mg/L</w:t>
      </w:r>
      <w:r w:rsidR="00603502" w:rsidRPr="00E018DF">
        <w:rPr>
          <w:rFonts w:cs="Times New Roman"/>
          <w:u w:val="none"/>
        </w:rPr>
        <w:t>). Þúsundföld þynning gerist á nokkrum tugum metra frá sjávarútrás</w:t>
      </w:r>
      <w:r w:rsidR="00646988" w:rsidRPr="00E018DF">
        <w:rPr>
          <w:rFonts w:cs="Times New Roman"/>
          <w:u w:val="none"/>
        </w:rPr>
        <w:t xml:space="preserve"> </w:t>
      </w:r>
      <w:r w:rsidR="003342BD" w:rsidRPr="00E018DF">
        <w:rPr>
          <w:rFonts w:cs="Times New Roman"/>
          <w:u w:val="none"/>
        </w:rPr>
        <w:t>og er styrkur f</w:t>
      </w:r>
      <w:r w:rsidR="00E72305">
        <w:rPr>
          <w:rFonts w:cs="Times New Roman"/>
          <w:u w:val="none"/>
        </w:rPr>
        <w:t xml:space="preserve">osfórs þá komin töluvert </w:t>
      </w:r>
      <w:r w:rsidR="003342BD" w:rsidRPr="00E018DF">
        <w:rPr>
          <w:rFonts w:cs="Times New Roman"/>
          <w:u w:val="none"/>
        </w:rPr>
        <w:t xml:space="preserve">undir bakgrunnsgildi sjávar </w:t>
      </w:r>
      <w:r w:rsidR="006F3A0E" w:rsidRPr="00E018DF">
        <w:rPr>
          <w:rFonts w:cs="Times New Roman"/>
          <w:u w:val="none"/>
        </w:rPr>
        <w:t xml:space="preserve">og </w:t>
      </w:r>
      <w:r w:rsidR="00646988" w:rsidRPr="00E018DF">
        <w:rPr>
          <w:rFonts w:cs="Times New Roman"/>
          <w:u w:val="none"/>
        </w:rPr>
        <w:t>áhrif</w:t>
      </w:r>
      <w:r w:rsidR="006F3A0E" w:rsidRPr="00E018DF">
        <w:rPr>
          <w:rFonts w:cs="Times New Roman"/>
          <w:u w:val="none"/>
        </w:rPr>
        <w:t xml:space="preserve"> hans</w:t>
      </w:r>
      <w:r w:rsidR="00646988" w:rsidRPr="00E018DF">
        <w:rPr>
          <w:rFonts w:cs="Times New Roman"/>
          <w:u w:val="none"/>
        </w:rPr>
        <w:t xml:space="preserve"> </w:t>
      </w:r>
      <w:r w:rsidR="003342BD" w:rsidRPr="00E018DF">
        <w:rPr>
          <w:rFonts w:cs="Times New Roman"/>
          <w:u w:val="none"/>
        </w:rPr>
        <w:t xml:space="preserve">því </w:t>
      </w:r>
      <w:r w:rsidR="00646988" w:rsidRPr="00E018DF">
        <w:rPr>
          <w:rFonts w:cs="Times New Roman"/>
          <w:u w:val="none"/>
        </w:rPr>
        <w:t>talin óveruleg.</w:t>
      </w:r>
      <w:r w:rsidR="00603502" w:rsidRPr="00E018DF">
        <w:rPr>
          <w:rFonts w:cs="Times New Roman"/>
          <w:u w:val="none"/>
        </w:rPr>
        <w:t xml:space="preserve"> </w:t>
      </w:r>
    </w:p>
    <w:p w:rsidR="00C22A90" w:rsidRPr="00E018DF" w:rsidRDefault="00C22A90" w:rsidP="00C22A90">
      <w:pPr>
        <w:spacing w:before="120"/>
        <w:rPr>
          <w:rFonts w:cs="Times New Roman"/>
          <w:u w:val="none"/>
        </w:rPr>
      </w:pPr>
      <w:r w:rsidRPr="00E018DF">
        <w:rPr>
          <w:rFonts w:cs="Times New Roman"/>
          <w:u w:val="none"/>
        </w:rPr>
        <w:t xml:space="preserve">Sjór verður áfram notaður til kælingar en hann kemst ekki í snertingu við mengandi efni. </w:t>
      </w:r>
      <w:r w:rsidR="0084445E" w:rsidRPr="00E018DF">
        <w:rPr>
          <w:rFonts w:cs="Times New Roman"/>
          <w:u w:val="none"/>
        </w:rPr>
        <w:t xml:space="preserve">Kælivatn fyrir núverandi starfsemi er leitt til sjávar í frárennslislögn. Lögð verður önnur frárennslislögn í hæfilegri fjarlægð frá núverandi lögn, </w:t>
      </w:r>
      <w:r w:rsidR="00C24768" w:rsidRPr="00E018DF">
        <w:rPr>
          <w:rFonts w:cs="Times New Roman"/>
          <w:u w:val="none"/>
        </w:rPr>
        <w:t>100</w:t>
      </w:r>
      <w:r w:rsidR="0084445E" w:rsidRPr="00E018DF">
        <w:rPr>
          <w:rFonts w:cs="Times New Roman"/>
          <w:u w:val="none"/>
        </w:rPr>
        <w:t xml:space="preserve"> m </w:t>
      </w:r>
      <w:r w:rsidR="00C17340">
        <w:rPr>
          <w:rFonts w:cs="Times New Roman"/>
          <w:u w:val="none"/>
        </w:rPr>
        <w:t xml:space="preserve">út </w:t>
      </w:r>
      <w:r w:rsidR="0084445E" w:rsidRPr="00E018DF">
        <w:rPr>
          <w:rFonts w:cs="Times New Roman"/>
          <w:u w:val="none"/>
        </w:rPr>
        <w:t xml:space="preserve">frá </w:t>
      </w:r>
      <w:r w:rsidR="00C24768" w:rsidRPr="00E018DF">
        <w:rPr>
          <w:rFonts w:cs="Times New Roman"/>
          <w:u w:val="none"/>
        </w:rPr>
        <w:t>brimvarnargarði</w:t>
      </w:r>
      <w:r w:rsidR="0084445E" w:rsidRPr="00E018DF">
        <w:rPr>
          <w:rFonts w:cs="Times New Roman"/>
          <w:u w:val="none"/>
        </w:rPr>
        <w:t xml:space="preserve"> á um 10 m dýpi. Hitastig kælivatns til sjávar verður óbreytt frá því sem nú er eða um 31°C. Þynningarsvæði nýrrar lagnar verður svipað og fyrri lagnar, ekki verður um samlegðaráhrif að ræða. </w:t>
      </w:r>
      <w:r w:rsidRPr="00E018DF">
        <w:rPr>
          <w:rFonts w:cs="Times New Roman"/>
          <w:u w:val="none"/>
        </w:rPr>
        <w:t>Áhrif frárennslis á sjó og strandsvæði teljast því óveruleg.</w:t>
      </w:r>
    </w:p>
    <w:p w:rsidR="00C22A90" w:rsidRPr="00E018DF" w:rsidRDefault="00C22A90" w:rsidP="00C22A90">
      <w:pPr>
        <w:keepNext/>
        <w:spacing w:before="120"/>
        <w:rPr>
          <w:rFonts w:cs="Times New Roman"/>
          <w:b/>
          <w:u w:val="none"/>
        </w:rPr>
      </w:pPr>
      <w:r w:rsidRPr="00E018DF">
        <w:rPr>
          <w:rFonts w:cs="Times New Roman"/>
          <w:b/>
          <w:u w:val="none"/>
        </w:rPr>
        <w:t>Heilsa og öryggi</w:t>
      </w:r>
    </w:p>
    <w:p w:rsidR="00C22A90" w:rsidRPr="00E018DF" w:rsidRDefault="00C22A90" w:rsidP="00C22A90">
      <w:pPr>
        <w:spacing w:before="120"/>
        <w:rPr>
          <w:rFonts w:cs="Times New Roman"/>
          <w:u w:val="none"/>
        </w:rPr>
      </w:pPr>
      <w:r w:rsidRPr="00E018DF">
        <w:rPr>
          <w:rFonts w:cs="Times New Roman"/>
          <w:u w:val="none"/>
        </w:rPr>
        <w:t xml:space="preserve">Loftstreymi er talsvert frá aflþynnuverksmiðjunni en aðallega </w:t>
      </w:r>
      <w:r w:rsidR="00ED78F3" w:rsidRPr="00E018DF">
        <w:rPr>
          <w:rFonts w:cs="Times New Roman"/>
          <w:u w:val="none"/>
        </w:rPr>
        <w:t xml:space="preserve">er </w:t>
      </w:r>
      <w:r w:rsidRPr="00E018DF">
        <w:rPr>
          <w:rFonts w:cs="Times New Roman"/>
          <w:u w:val="none"/>
        </w:rPr>
        <w:t xml:space="preserve">um að ræða gufu með lágum styrkleika af vetni og ammoníaki. Mælingar hafa sýnt að styrkleiki ammoníaks uppfyllir þær kröfur sem gerðar eru í starfsleyfi. Gert er ráð fyrir að við stækkun </w:t>
      </w:r>
      <w:r w:rsidR="00ED78F3" w:rsidRPr="00E018DF">
        <w:rPr>
          <w:rFonts w:cs="Times New Roman"/>
          <w:u w:val="none"/>
        </w:rPr>
        <w:t>haldist</w:t>
      </w:r>
      <w:r w:rsidRPr="00E018DF">
        <w:rPr>
          <w:rFonts w:cs="Times New Roman"/>
          <w:u w:val="none"/>
        </w:rPr>
        <w:t xml:space="preserve"> styrkleiki ammoníaks í lofti innan marka. Áhrif teljast því vera óveruleg.</w:t>
      </w:r>
    </w:p>
    <w:p w:rsidR="00C22A90" w:rsidRPr="00E018DF" w:rsidRDefault="00C22A90" w:rsidP="00C22A90">
      <w:pPr>
        <w:spacing w:before="120"/>
        <w:rPr>
          <w:rFonts w:cs="Times New Roman"/>
          <w:u w:val="none"/>
        </w:rPr>
      </w:pPr>
      <w:r w:rsidRPr="00E018DF">
        <w:rPr>
          <w:rFonts w:cs="Times New Roman"/>
          <w:u w:val="none"/>
        </w:rPr>
        <w:t>Hávaði af völdum aflþynnuverksmiðjunar er hverfandi. Þar fer fram yfirborðsmeðferð málma með rafhúðunar- og efnameðferð. Ekki er því um að ræða hávaðasama framleiðslu sem veldur hávaða í nágrenni verksmiðjunnar. Stækkun framleiðslunnar felur ekki í sér aðra breytingu á starfsemi hennar. Aukning verður á flutningi á aðföngum til verksmiðjunnar en gert er ráð fyrir að sú tala verð</w:t>
      </w:r>
      <w:r w:rsidR="00E72305">
        <w:rPr>
          <w:rFonts w:cs="Times New Roman"/>
          <w:u w:val="none"/>
        </w:rPr>
        <w:t>i</w:t>
      </w:r>
      <w:r w:rsidRPr="00E018DF">
        <w:rPr>
          <w:rFonts w:cs="Times New Roman"/>
          <w:u w:val="none"/>
        </w:rPr>
        <w:t xml:space="preserve"> hæst 250 flutningar árlega að stækkun lokinni en er í dag um 150. Önnur starfsemi er á svæðinu og umferð vegna aflþynnuverksmiðjunnar aðeins hluti þeirrar umferðar sem um svæðið fer. Áhrif deiliskipulagsbreytingarinnar á hávaða eru metin óveruleg.</w:t>
      </w:r>
    </w:p>
    <w:p w:rsidR="006C527D" w:rsidRPr="00E018DF" w:rsidRDefault="007005E6" w:rsidP="006C527D">
      <w:pPr>
        <w:spacing w:before="120"/>
        <w:rPr>
          <w:rFonts w:cs="Times New Roman"/>
          <w:u w:val="none"/>
        </w:rPr>
      </w:pPr>
      <w:r w:rsidRPr="00E018DF">
        <w:rPr>
          <w:rFonts w:cs="Times New Roman"/>
          <w:u w:val="none"/>
        </w:rPr>
        <w:t>Ekki verður aukning á geymslu efna á verksmiðjusvæðinu umfram það sem leyft er í núgildandi starfsleyfi, nema fyrir fosfórsýru sem eykst um 65 m</w:t>
      </w:r>
      <w:r w:rsidRPr="00E72305">
        <w:rPr>
          <w:rFonts w:cs="Times New Roman"/>
          <w:u w:val="none"/>
          <w:vertAlign w:val="superscript"/>
        </w:rPr>
        <w:t>3</w:t>
      </w:r>
      <w:r w:rsidRPr="00E018DF">
        <w:rPr>
          <w:rFonts w:cs="Times New Roman"/>
          <w:u w:val="none"/>
        </w:rPr>
        <w:t xml:space="preserve">. </w:t>
      </w:r>
      <w:r w:rsidR="006C527D" w:rsidRPr="00E018DF">
        <w:rPr>
          <w:rFonts w:cs="Times New Roman"/>
          <w:u w:val="none"/>
        </w:rPr>
        <w:t xml:space="preserve">Ekki er gert ráð fyrir aukinni slysahættu í verksmiðjunni vegna </w:t>
      </w:r>
      <w:r w:rsidRPr="00E018DF">
        <w:rPr>
          <w:rFonts w:cs="Times New Roman"/>
          <w:u w:val="none"/>
        </w:rPr>
        <w:t xml:space="preserve">þessa </w:t>
      </w:r>
      <w:r w:rsidR="006C527D" w:rsidRPr="00E018DF">
        <w:rPr>
          <w:rFonts w:cs="Times New Roman"/>
          <w:u w:val="none"/>
        </w:rPr>
        <w:t>enda mun rekstaraðili gera allar nauðsynlegar öryggisráðstafa</w:t>
      </w:r>
      <w:r w:rsidR="00DB5CAF" w:rsidRPr="00E018DF">
        <w:rPr>
          <w:rFonts w:cs="Times New Roman"/>
          <w:u w:val="none"/>
        </w:rPr>
        <w:t xml:space="preserve">nir til að koma í veg fyrir </w:t>
      </w:r>
      <w:r w:rsidR="006C527D" w:rsidRPr="00E018DF">
        <w:rPr>
          <w:rFonts w:cs="Times New Roman"/>
          <w:u w:val="none"/>
        </w:rPr>
        <w:t xml:space="preserve">slys. </w:t>
      </w:r>
    </w:p>
    <w:p w:rsidR="00ED78F3" w:rsidRPr="00E018DF" w:rsidRDefault="00ED78F3" w:rsidP="00C22A90">
      <w:pPr>
        <w:spacing w:before="120"/>
        <w:rPr>
          <w:rFonts w:cs="Times New Roman"/>
          <w:u w:val="none"/>
        </w:rPr>
      </w:pPr>
      <w:r w:rsidRPr="00E018DF">
        <w:rPr>
          <w:rFonts w:cs="Times New Roman"/>
          <w:u w:val="none"/>
        </w:rPr>
        <w:t>Á heildina litið eru áhrif</w:t>
      </w:r>
      <w:r w:rsidR="00B82B0F" w:rsidRPr="00E018DF">
        <w:rPr>
          <w:rFonts w:cs="Times New Roman"/>
          <w:u w:val="none"/>
        </w:rPr>
        <w:t xml:space="preserve"> deiliskipulagsbreytingarinnar </w:t>
      </w:r>
      <w:r w:rsidRPr="00E018DF">
        <w:rPr>
          <w:rFonts w:cs="Times New Roman"/>
          <w:u w:val="none"/>
        </w:rPr>
        <w:t>á heilsu og öryggi talin óveruleg.</w:t>
      </w:r>
    </w:p>
    <w:p w:rsidR="00C22A90" w:rsidRPr="00E018DF" w:rsidRDefault="00C22A90" w:rsidP="00E018DF">
      <w:pPr>
        <w:keepNext/>
        <w:spacing w:before="120"/>
        <w:rPr>
          <w:rFonts w:cs="Times New Roman"/>
          <w:b/>
          <w:u w:val="none"/>
        </w:rPr>
      </w:pPr>
      <w:r w:rsidRPr="00E018DF">
        <w:rPr>
          <w:rFonts w:cs="Times New Roman"/>
          <w:b/>
          <w:u w:val="none"/>
        </w:rPr>
        <w:lastRenderedPageBreak/>
        <w:t>Landslag</w:t>
      </w:r>
    </w:p>
    <w:p w:rsidR="00C22A90" w:rsidRPr="00E018DF" w:rsidRDefault="00C22A90" w:rsidP="00C22A90">
      <w:pPr>
        <w:rPr>
          <w:rFonts w:cs="Times New Roman"/>
          <w:u w:val="none"/>
        </w:rPr>
      </w:pPr>
      <w:r w:rsidRPr="00E018DF">
        <w:rPr>
          <w:rFonts w:cs="Times New Roman"/>
          <w:u w:val="none"/>
        </w:rPr>
        <w:t xml:space="preserve">Í aðalskipulagi Akureyrar 2005-2018 er gert ráð fyrir iðnaðarsvæðum beggja vegna Krossanesbrautar. Deiliskipulagstillagan gerir ráð fyrir að lóð og byggingarreitur við Krossanes 4 stækki um </w:t>
      </w:r>
      <w:r w:rsidR="00ED78F3" w:rsidRPr="00E018DF">
        <w:rPr>
          <w:rFonts w:cs="Times New Roman"/>
          <w:u w:val="none"/>
        </w:rPr>
        <w:t xml:space="preserve">u.þ.b. </w:t>
      </w:r>
      <w:r w:rsidRPr="00E018DF">
        <w:rPr>
          <w:rFonts w:cs="Times New Roman"/>
          <w:u w:val="none"/>
        </w:rPr>
        <w:t>7000m</w:t>
      </w:r>
      <w:r w:rsidRPr="00E018DF">
        <w:rPr>
          <w:rFonts w:cs="Times New Roman"/>
          <w:u w:val="none"/>
          <w:vertAlign w:val="superscript"/>
        </w:rPr>
        <w:t>2</w:t>
      </w:r>
      <w:r w:rsidRPr="00E018DF">
        <w:rPr>
          <w:rFonts w:cs="Times New Roman"/>
          <w:u w:val="none"/>
        </w:rPr>
        <w:t xml:space="preserve"> og Krossanesbraut hliðrist til vesturs.</w:t>
      </w:r>
      <w:r w:rsidR="00081424" w:rsidRPr="00E018DF">
        <w:rPr>
          <w:rFonts w:cs="Times New Roman"/>
          <w:u w:val="none"/>
        </w:rPr>
        <w:t xml:space="preserve"> </w:t>
      </w:r>
      <w:r w:rsidRPr="00E018DF">
        <w:rPr>
          <w:rFonts w:cs="Times New Roman"/>
          <w:u w:val="none"/>
        </w:rPr>
        <w:t xml:space="preserve">Stækkun byggingarreits og færsla </w:t>
      </w:r>
      <w:r w:rsidR="00081424" w:rsidRPr="00E018DF">
        <w:rPr>
          <w:rFonts w:cs="Times New Roman"/>
          <w:u w:val="none"/>
        </w:rPr>
        <w:t xml:space="preserve">veglínunnar </w:t>
      </w:r>
      <w:r w:rsidRPr="00E018DF">
        <w:rPr>
          <w:rFonts w:cs="Times New Roman"/>
          <w:u w:val="none"/>
        </w:rPr>
        <w:t xml:space="preserve">hefur vissulega áhrif á ásýnd svæðisins en þar sem um er að ræða iðnaðarsvæði á svæðum sem nú þegar eru mikið röskuð </w:t>
      </w:r>
      <w:r w:rsidR="00ED78F3" w:rsidRPr="00E018DF">
        <w:rPr>
          <w:rFonts w:cs="Times New Roman"/>
          <w:u w:val="none"/>
        </w:rPr>
        <w:t>eru</w:t>
      </w:r>
      <w:r w:rsidRPr="00E018DF">
        <w:rPr>
          <w:rFonts w:cs="Times New Roman"/>
          <w:u w:val="none"/>
        </w:rPr>
        <w:t xml:space="preserve"> áhrifin talin óveruleg. </w:t>
      </w:r>
    </w:p>
    <w:p w:rsidR="00C22A90" w:rsidRPr="00E018DF" w:rsidRDefault="00C22A90" w:rsidP="00B527EC">
      <w:pPr>
        <w:keepNext/>
        <w:spacing w:before="120"/>
        <w:rPr>
          <w:rFonts w:cs="Times New Roman"/>
          <w:u w:val="none"/>
        </w:rPr>
      </w:pPr>
      <w:r w:rsidRPr="00E018DF">
        <w:rPr>
          <w:rFonts w:cs="Times New Roman"/>
          <w:b/>
          <w:u w:val="none"/>
        </w:rPr>
        <w:t>Náttúruvernd</w:t>
      </w:r>
    </w:p>
    <w:p w:rsidR="00C22A90" w:rsidRPr="00E018DF" w:rsidRDefault="00C22A90" w:rsidP="00C22A90">
      <w:pPr>
        <w:rPr>
          <w:rFonts w:cs="Times New Roman"/>
          <w:u w:val="none"/>
        </w:rPr>
      </w:pPr>
      <w:r w:rsidRPr="00E018DF">
        <w:rPr>
          <w:rFonts w:cs="Times New Roman"/>
          <w:u w:val="none"/>
        </w:rPr>
        <w:t xml:space="preserve">Deiliskipulagsbreytingin hefur engin áhrif á ósnerta náttúru, náttúrufyrirbrigði eða landslagsgerðir.sem njóta einhverrar verndar samkvæmt lögum eða reglugerðum. Áhrif skipulagsins á náttúruvernd eru því engin. </w:t>
      </w:r>
    </w:p>
    <w:p w:rsidR="008309DC" w:rsidRPr="00E018DF" w:rsidRDefault="00C22A90" w:rsidP="00F255F1">
      <w:pPr>
        <w:keepNext/>
        <w:spacing w:before="120"/>
        <w:rPr>
          <w:rFonts w:cs="Times New Roman"/>
          <w:b/>
          <w:u w:val="none"/>
        </w:rPr>
      </w:pPr>
      <w:r w:rsidRPr="00E018DF">
        <w:rPr>
          <w:rFonts w:cs="Times New Roman"/>
          <w:b/>
          <w:u w:val="none"/>
        </w:rPr>
        <w:t>Minjavernd</w:t>
      </w:r>
    </w:p>
    <w:p w:rsidR="00C22A90" w:rsidRPr="00E018DF" w:rsidRDefault="00C22A90" w:rsidP="00C22A90">
      <w:pPr>
        <w:rPr>
          <w:rFonts w:cs="Times New Roman"/>
          <w:u w:val="none"/>
        </w:rPr>
      </w:pPr>
      <w:r w:rsidRPr="00E018DF">
        <w:rPr>
          <w:rFonts w:cs="Times New Roman"/>
          <w:u w:val="none"/>
        </w:rPr>
        <w:t xml:space="preserve">Engar fornminjar eru skráðar innan skipulagssvæðisins og ekki er talið að breyting skipulagsins hafi áhrif á minjaverndarsvæði í nágrenninu. Áhrif skipulagsins á minjavernd eru því engin. </w:t>
      </w:r>
    </w:p>
    <w:p w:rsidR="00C22A90" w:rsidRPr="00E018DF" w:rsidRDefault="00C22A90" w:rsidP="00B82B0F">
      <w:pPr>
        <w:pStyle w:val="Heading1"/>
      </w:pPr>
      <w:bookmarkStart w:id="14" w:name="_Toc306980559"/>
      <w:r w:rsidRPr="00E018DF">
        <w:t>Niðurstaða</w:t>
      </w:r>
      <w:bookmarkEnd w:id="14"/>
    </w:p>
    <w:p w:rsidR="008309DC" w:rsidRPr="00E018DF" w:rsidRDefault="00C22A90" w:rsidP="00F255F1">
      <w:pPr>
        <w:rPr>
          <w:rFonts w:cs="Times New Roman"/>
          <w:u w:val="none"/>
        </w:rPr>
      </w:pPr>
      <w:r w:rsidRPr="00E018DF">
        <w:rPr>
          <w:rFonts w:cs="Times New Roman"/>
          <w:u w:val="none"/>
        </w:rPr>
        <w:t xml:space="preserve">Um er að ræða tiltölulega litlar breytingar á svæði sem einkennist af iðnaði og birgðastöðvum. </w:t>
      </w:r>
      <w:r w:rsidR="002321EB" w:rsidRPr="00E018DF">
        <w:rPr>
          <w:rFonts w:cs="Times New Roman"/>
          <w:u w:val="none"/>
        </w:rPr>
        <w:t xml:space="preserve">Áhrif deiliskipulagsbreytingarinnar á sjó og strandsvæði, heilsu og öryggi og landslag eru talin óveruleg. Ekki er talið að </w:t>
      </w:r>
      <w:r w:rsidR="00B82B0F" w:rsidRPr="00E018DF">
        <w:rPr>
          <w:rFonts w:cs="Times New Roman"/>
          <w:u w:val="none"/>
        </w:rPr>
        <w:t xml:space="preserve">breytingin </w:t>
      </w:r>
      <w:r w:rsidR="002321EB" w:rsidRPr="00E018DF">
        <w:rPr>
          <w:rFonts w:cs="Times New Roman"/>
          <w:u w:val="none"/>
        </w:rPr>
        <w:t xml:space="preserve">hafi áhrif á náttúruvernd eða minjavernd á þessu svæði umfram áhrif af gildandi skipulagi. </w:t>
      </w:r>
    </w:p>
    <w:p w:rsidR="00C22A90" w:rsidRPr="00E018DF" w:rsidRDefault="00C22A90" w:rsidP="0070277E">
      <w:pPr>
        <w:rPr>
          <w:rFonts w:cs="Times New Roman"/>
          <w:b/>
          <w:bCs/>
          <w:u w:val="none"/>
        </w:rPr>
      </w:pPr>
      <w:r w:rsidRPr="00E018DF">
        <w:rPr>
          <w:rFonts w:cs="Times New Roman"/>
          <w:u w:val="none"/>
        </w:rPr>
        <w:t>Framkvæmdir á grundvelli þeirra breytinga sem gerðar eru á deiliskipulagi hafnarsvæðisins í Krossanesi eru ekki taldar líklegar til að hafa í för með sér umtalsverð umhverfisáhrif.</w:t>
      </w:r>
    </w:p>
    <w:sectPr w:rsidR="00C22A90" w:rsidRPr="00E018DF" w:rsidSect="00620F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02" w:rsidRDefault="00156B02" w:rsidP="004A4BBC">
      <w:pPr>
        <w:spacing w:after="0" w:line="240" w:lineRule="auto"/>
      </w:pPr>
      <w:r>
        <w:separator/>
      </w:r>
    </w:p>
  </w:endnote>
  <w:endnote w:type="continuationSeparator" w:id="0">
    <w:p w:rsidR="00156B02" w:rsidRDefault="00156B02" w:rsidP="004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rsidP="003019D0">
    <w:pPr>
      <w:pStyle w:val="Footer"/>
      <w:jc w:val="right"/>
    </w:pPr>
    <w:r>
      <w:rPr>
        <w:noProof/>
        <w:lang w:eastAsia="is-IS"/>
      </w:rPr>
      <w:drawing>
        <wp:anchor distT="0" distB="0" distL="114300" distR="114300" simplePos="0" relativeHeight="251659776" behindDoc="1" locked="0" layoutInCell="1" allowOverlap="1" wp14:anchorId="129F214B" wp14:editId="7DCCE720">
          <wp:simplePos x="0" y="0"/>
          <wp:positionH relativeFrom="column">
            <wp:posOffset>4549140</wp:posOffset>
          </wp:positionH>
          <wp:positionV relativeFrom="paragraph">
            <wp:posOffset>-345440</wp:posOffset>
          </wp:positionV>
          <wp:extent cx="1534160" cy="631190"/>
          <wp:effectExtent l="19050" t="0" r="8890" b="0"/>
          <wp:wrapNone/>
          <wp:docPr id="3" name="Picture 1" descr="EFL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A_RGB"/>
                  <pic:cNvPicPr>
                    <a:picLocks noChangeAspect="1" noChangeArrowheads="1"/>
                  </pic:cNvPicPr>
                </pic:nvPicPr>
                <pic:blipFill>
                  <a:blip r:embed="rId1"/>
                  <a:srcRect/>
                  <a:stretch>
                    <a:fillRect/>
                  </a:stretch>
                </pic:blipFill>
                <pic:spPr bwMode="auto">
                  <a:xfrm>
                    <a:off x="0" y="0"/>
                    <a:ext cx="1534160" cy="631190"/>
                  </a:xfrm>
                  <a:prstGeom prst="rect">
                    <a:avLst/>
                  </a:prstGeom>
                  <a:noFill/>
                </pic:spPr>
              </pic:pic>
            </a:graphicData>
          </a:graphic>
        </wp:anchor>
      </w:drawing>
    </w:r>
  </w:p>
  <w:p w:rsidR="00E72305" w:rsidRDefault="00E72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rsidP="004115D4">
    <w:pPr>
      <w:autoSpaceDE w:val="0"/>
      <w:autoSpaceDN w:val="0"/>
      <w:adjustRightInd w:val="0"/>
      <w:spacing w:after="0" w:line="240" w:lineRule="auto"/>
      <w:rPr>
        <w:rFonts w:ascii="Arial" w:hAnsi="Arial" w:cs="Arial"/>
        <w:color w:val="000000"/>
        <w:sz w:val="16"/>
        <w:szCs w:val="16"/>
      </w:rPr>
    </w:pPr>
  </w:p>
  <w:p w:rsidR="00E72305" w:rsidRDefault="00E72305" w:rsidP="004115D4">
    <w:pPr>
      <w:autoSpaceDE w:val="0"/>
      <w:autoSpaceDN w:val="0"/>
      <w:adjustRightInd w:val="0"/>
      <w:spacing w:after="0" w:line="240" w:lineRule="auto"/>
      <w:rPr>
        <w:rFonts w:ascii="Arial" w:hAnsi="Arial" w:cs="Arial"/>
        <w:color w:val="000000"/>
        <w:sz w:val="16"/>
        <w:szCs w:val="16"/>
      </w:rPr>
    </w:pPr>
  </w:p>
  <w:p w:rsidR="00E72305" w:rsidRPr="004115D4" w:rsidRDefault="00E72305" w:rsidP="004115D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Deiliskipulag hafnarsvæðis í Krossanesi, umhverfisskýrsla</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bl</w:t>
    </w:r>
    <w:r>
      <w:t xml:space="preserve">s. </w:t>
    </w:r>
    <w:sdt>
      <w:sdtPr>
        <w:id w:val="-618778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4236">
          <w:rPr>
            <w:noProof/>
          </w:rPr>
          <w:t>2</w:t>
        </w:r>
        <w:r>
          <w:rPr>
            <w:noProof/>
          </w:rPr>
          <w:fldChar w:fldCharType="end"/>
        </w:r>
      </w:sdtContent>
    </w:sdt>
  </w:p>
  <w:p w:rsidR="00E72305" w:rsidRPr="004115D4" w:rsidRDefault="00E72305" w:rsidP="004115D4">
    <w:pPr>
      <w:autoSpaceDE w:val="0"/>
      <w:autoSpaceDN w:val="0"/>
      <w:adjustRightInd w:val="0"/>
      <w:spacing w:after="0" w:line="240" w:lineRule="auto"/>
      <w:rPr>
        <w:rFonts w:ascii="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02" w:rsidRDefault="00156B02" w:rsidP="004A4BBC">
      <w:pPr>
        <w:spacing w:after="0" w:line="240" w:lineRule="auto"/>
      </w:pPr>
      <w:r>
        <w:separator/>
      </w:r>
    </w:p>
  </w:footnote>
  <w:footnote w:type="continuationSeparator" w:id="0">
    <w:p w:rsidR="00156B02" w:rsidRDefault="00156B02" w:rsidP="004A4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05" w:rsidRDefault="00E72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396"/>
    <w:multiLevelType w:val="hybridMultilevel"/>
    <w:tmpl w:val="8782ED34"/>
    <w:lvl w:ilvl="0" w:tplc="040F000F">
      <w:start w:val="1"/>
      <w:numFmt w:val="decimal"/>
      <w:lvlText w:val="%1."/>
      <w:lvlJc w:val="left"/>
      <w:pPr>
        <w:tabs>
          <w:tab w:val="num" w:pos="720"/>
        </w:tabs>
        <w:ind w:left="720" w:hanging="360"/>
      </w:pPr>
    </w:lvl>
    <w:lvl w:ilvl="1" w:tplc="040F0019">
      <w:start w:val="1"/>
      <w:numFmt w:val="lowerLetter"/>
      <w:lvlText w:val="%2."/>
      <w:lvlJc w:val="left"/>
      <w:pPr>
        <w:tabs>
          <w:tab w:val="num" w:pos="1440"/>
        </w:tabs>
        <w:ind w:left="1440" w:hanging="360"/>
      </w:pPr>
    </w:lvl>
    <w:lvl w:ilvl="2" w:tplc="040F001B">
      <w:start w:val="1"/>
      <w:numFmt w:val="lowerRoman"/>
      <w:lvlText w:val="%3."/>
      <w:lvlJc w:val="right"/>
      <w:pPr>
        <w:tabs>
          <w:tab w:val="num" w:pos="2160"/>
        </w:tabs>
        <w:ind w:left="2160" w:hanging="180"/>
      </w:pPr>
    </w:lvl>
    <w:lvl w:ilvl="3" w:tplc="040F000F">
      <w:start w:val="1"/>
      <w:numFmt w:val="decimal"/>
      <w:lvlText w:val="%4."/>
      <w:lvlJc w:val="left"/>
      <w:pPr>
        <w:tabs>
          <w:tab w:val="num" w:pos="2880"/>
        </w:tabs>
        <w:ind w:left="2880" w:hanging="360"/>
      </w:pPr>
    </w:lvl>
    <w:lvl w:ilvl="4" w:tplc="040F0019">
      <w:start w:val="1"/>
      <w:numFmt w:val="lowerLetter"/>
      <w:lvlText w:val="%5."/>
      <w:lvlJc w:val="left"/>
      <w:pPr>
        <w:tabs>
          <w:tab w:val="num" w:pos="3600"/>
        </w:tabs>
        <w:ind w:left="3600" w:hanging="360"/>
      </w:pPr>
    </w:lvl>
    <w:lvl w:ilvl="5" w:tplc="040F001B">
      <w:start w:val="1"/>
      <w:numFmt w:val="lowerRoman"/>
      <w:lvlText w:val="%6."/>
      <w:lvlJc w:val="right"/>
      <w:pPr>
        <w:tabs>
          <w:tab w:val="num" w:pos="4320"/>
        </w:tabs>
        <w:ind w:left="4320" w:hanging="180"/>
      </w:pPr>
    </w:lvl>
    <w:lvl w:ilvl="6" w:tplc="040F000F">
      <w:start w:val="1"/>
      <w:numFmt w:val="decimal"/>
      <w:lvlText w:val="%7."/>
      <w:lvlJc w:val="left"/>
      <w:pPr>
        <w:tabs>
          <w:tab w:val="num" w:pos="5040"/>
        </w:tabs>
        <w:ind w:left="5040" w:hanging="360"/>
      </w:pPr>
    </w:lvl>
    <w:lvl w:ilvl="7" w:tplc="040F0019">
      <w:start w:val="1"/>
      <w:numFmt w:val="lowerLetter"/>
      <w:lvlText w:val="%8."/>
      <w:lvlJc w:val="left"/>
      <w:pPr>
        <w:tabs>
          <w:tab w:val="num" w:pos="5760"/>
        </w:tabs>
        <w:ind w:left="5760" w:hanging="360"/>
      </w:pPr>
    </w:lvl>
    <w:lvl w:ilvl="8" w:tplc="040F001B">
      <w:start w:val="1"/>
      <w:numFmt w:val="lowerRoman"/>
      <w:lvlText w:val="%9."/>
      <w:lvlJc w:val="right"/>
      <w:pPr>
        <w:tabs>
          <w:tab w:val="num" w:pos="6480"/>
        </w:tabs>
        <w:ind w:left="6480" w:hanging="180"/>
      </w:pPr>
    </w:lvl>
  </w:abstractNum>
  <w:abstractNum w:abstractNumId="1">
    <w:nsid w:val="7B98576D"/>
    <w:multiLevelType w:val="hybridMultilevel"/>
    <w:tmpl w:val="6FBC01F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Times New Roman"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Times New Roman"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Times New Roman" w:hint="default"/>
      </w:rPr>
    </w:lvl>
    <w:lvl w:ilvl="8" w:tplc="040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BC"/>
    <w:rsid w:val="00011F51"/>
    <w:rsid w:val="000318A6"/>
    <w:rsid w:val="0006143F"/>
    <w:rsid w:val="00075260"/>
    <w:rsid w:val="00081424"/>
    <w:rsid w:val="00084928"/>
    <w:rsid w:val="000A4617"/>
    <w:rsid w:val="000C2747"/>
    <w:rsid w:val="001427B8"/>
    <w:rsid w:val="00156B02"/>
    <w:rsid w:val="001A0FCD"/>
    <w:rsid w:val="001B62B9"/>
    <w:rsid w:val="001D5D40"/>
    <w:rsid w:val="0021750B"/>
    <w:rsid w:val="002319EF"/>
    <w:rsid w:val="002321EB"/>
    <w:rsid w:val="0026046B"/>
    <w:rsid w:val="00275657"/>
    <w:rsid w:val="00296E5C"/>
    <w:rsid w:val="002A4AFA"/>
    <w:rsid w:val="002E0037"/>
    <w:rsid w:val="003019D0"/>
    <w:rsid w:val="00307CD8"/>
    <w:rsid w:val="0031474E"/>
    <w:rsid w:val="00330DFB"/>
    <w:rsid w:val="003342BD"/>
    <w:rsid w:val="003A3D9E"/>
    <w:rsid w:val="003E4FE7"/>
    <w:rsid w:val="003E6A2C"/>
    <w:rsid w:val="00410A9E"/>
    <w:rsid w:val="004112A6"/>
    <w:rsid w:val="004115D4"/>
    <w:rsid w:val="0042407F"/>
    <w:rsid w:val="004455C7"/>
    <w:rsid w:val="00447AFC"/>
    <w:rsid w:val="004A4BBC"/>
    <w:rsid w:val="004C52F7"/>
    <w:rsid w:val="004E32BD"/>
    <w:rsid w:val="00506D47"/>
    <w:rsid w:val="00510FD6"/>
    <w:rsid w:val="005372C9"/>
    <w:rsid w:val="00540B6B"/>
    <w:rsid w:val="005F207B"/>
    <w:rsid w:val="00603502"/>
    <w:rsid w:val="00620F58"/>
    <w:rsid w:val="006402B9"/>
    <w:rsid w:val="00646988"/>
    <w:rsid w:val="00665A90"/>
    <w:rsid w:val="006A4BE9"/>
    <w:rsid w:val="006A53BE"/>
    <w:rsid w:val="006A7E7C"/>
    <w:rsid w:val="006C527D"/>
    <w:rsid w:val="006F3A0E"/>
    <w:rsid w:val="007005E6"/>
    <w:rsid w:val="0070277E"/>
    <w:rsid w:val="007144B5"/>
    <w:rsid w:val="00746861"/>
    <w:rsid w:val="007476A1"/>
    <w:rsid w:val="007A1041"/>
    <w:rsid w:val="007E58E1"/>
    <w:rsid w:val="00813B5E"/>
    <w:rsid w:val="008309DC"/>
    <w:rsid w:val="0084445E"/>
    <w:rsid w:val="00845065"/>
    <w:rsid w:val="00853118"/>
    <w:rsid w:val="008816A8"/>
    <w:rsid w:val="008D595C"/>
    <w:rsid w:val="008E6A7D"/>
    <w:rsid w:val="0091579B"/>
    <w:rsid w:val="00924623"/>
    <w:rsid w:val="009615E6"/>
    <w:rsid w:val="009A28E0"/>
    <w:rsid w:val="00A23ABE"/>
    <w:rsid w:val="00A55AB1"/>
    <w:rsid w:val="00AD4F34"/>
    <w:rsid w:val="00B21240"/>
    <w:rsid w:val="00B40999"/>
    <w:rsid w:val="00B417B7"/>
    <w:rsid w:val="00B4662A"/>
    <w:rsid w:val="00B527EC"/>
    <w:rsid w:val="00B82B0F"/>
    <w:rsid w:val="00B86A64"/>
    <w:rsid w:val="00BA487C"/>
    <w:rsid w:val="00C06952"/>
    <w:rsid w:val="00C17340"/>
    <w:rsid w:val="00C22A90"/>
    <w:rsid w:val="00C24768"/>
    <w:rsid w:val="00C25BC1"/>
    <w:rsid w:val="00C65B00"/>
    <w:rsid w:val="00C66C65"/>
    <w:rsid w:val="00C70B2C"/>
    <w:rsid w:val="00C73469"/>
    <w:rsid w:val="00CB3366"/>
    <w:rsid w:val="00CC56F7"/>
    <w:rsid w:val="00CF6EA0"/>
    <w:rsid w:val="00D1567A"/>
    <w:rsid w:val="00D27032"/>
    <w:rsid w:val="00DB3F65"/>
    <w:rsid w:val="00DB5CAF"/>
    <w:rsid w:val="00DC7297"/>
    <w:rsid w:val="00E018DF"/>
    <w:rsid w:val="00E414C8"/>
    <w:rsid w:val="00E502CD"/>
    <w:rsid w:val="00E62BEF"/>
    <w:rsid w:val="00E71F42"/>
    <w:rsid w:val="00E72305"/>
    <w:rsid w:val="00E94236"/>
    <w:rsid w:val="00E9645B"/>
    <w:rsid w:val="00EC0051"/>
    <w:rsid w:val="00ED0BC7"/>
    <w:rsid w:val="00ED78F3"/>
    <w:rsid w:val="00F255F1"/>
    <w:rsid w:val="00F657D0"/>
    <w:rsid w:val="00F65D41"/>
    <w:rsid w:val="00FC5C6F"/>
    <w:rsid w:val="00FD51E1"/>
    <w:rsid w:val="00FD7DF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u w:val="single"/>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2A"/>
  </w:style>
  <w:style w:type="paragraph" w:styleId="Heading1">
    <w:name w:val="heading 1"/>
    <w:basedOn w:val="Normal"/>
    <w:next w:val="Normal"/>
    <w:link w:val="Heading1Char"/>
    <w:uiPriority w:val="9"/>
    <w:qFormat/>
    <w:rsid w:val="00C65B00"/>
    <w:pPr>
      <w:keepNext/>
      <w:keepLines/>
      <w:spacing w:before="480" w:after="0"/>
      <w:outlineLvl w:val="0"/>
    </w:pPr>
    <w:rPr>
      <w:rFonts w:asciiTheme="majorHAnsi" w:eastAsiaTheme="majorEastAsia" w:hAnsiTheme="majorHAnsi" w:cstheme="majorBidi"/>
      <w:b/>
      <w:bCs/>
      <w:sz w:val="28"/>
      <w:szCs w:val="28"/>
      <w:u w:val="none"/>
    </w:rPr>
  </w:style>
  <w:style w:type="paragraph" w:styleId="Heading2">
    <w:name w:val="heading 2"/>
    <w:basedOn w:val="Normal"/>
    <w:next w:val="Normal"/>
    <w:link w:val="Heading2Char"/>
    <w:uiPriority w:val="9"/>
    <w:unhideWhenUsed/>
    <w:qFormat/>
    <w:rsid w:val="000C2747"/>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B4662A"/>
    <w:pPr>
      <w:keepNext/>
      <w:spacing w:before="240" w:after="60" w:line="240" w:lineRule="auto"/>
      <w:jc w:val="both"/>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B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BBC"/>
  </w:style>
  <w:style w:type="paragraph" w:styleId="Footer">
    <w:name w:val="footer"/>
    <w:basedOn w:val="Normal"/>
    <w:link w:val="FooterChar1"/>
    <w:unhideWhenUsed/>
    <w:rsid w:val="004A4BBC"/>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4A4BBC"/>
  </w:style>
  <w:style w:type="paragraph" w:styleId="BalloonText">
    <w:name w:val="Balloon Text"/>
    <w:basedOn w:val="Normal"/>
    <w:link w:val="BalloonTextChar"/>
    <w:uiPriority w:val="99"/>
    <w:semiHidden/>
    <w:unhideWhenUsed/>
    <w:rsid w:val="004A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BC"/>
    <w:rPr>
      <w:rFonts w:ascii="Tahoma" w:hAnsi="Tahoma" w:cs="Tahoma"/>
      <w:sz w:val="16"/>
      <w:szCs w:val="16"/>
    </w:rPr>
  </w:style>
  <w:style w:type="character" w:styleId="Hyperlink">
    <w:name w:val="Hyperlink"/>
    <w:basedOn w:val="DefaultParagraphFont"/>
    <w:uiPriority w:val="99"/>
    <w:unhideWhenUsed/>
    <w:rsid w:val="00924623"/>
    <w:rPr>
      <w:color w:val="0000FF" w:themeColor="hyperlink"/>
      <w:u w:val="single"/>
    </w:rPr>
  </w:style>
  <w:style w:type="paragraph" w:styleId="TOC1">
    <w:name w:val="toc 1"/>
    <w:basedOn w:val="Normal"/>
    <w:next w:val="Normal"/>
    <w:autoRedefine/>
    <w:uiPriority w:val="39"/>
    <w:unhideWhenUsed/>
    <w:rsid w:val="000C2747"/>
    <w:pPr>
      <w:tabs>
        <w:tab w:val="right" w:leader="dot" w:pos="9062"/>
      </w:tabs>
      <w:spacing w:after="100" w:line="240" w:lineRule="auto"/>
      <w:jc w:val="both"/>
    </w:pPr>
    <w:rPr>
      <w:rFonts w:eastAsiaTheme="majorEastAsia" w:cs="Times New Roman"/>
      <w:noProof/>
      <w:szCs w:val="24"/>
      <w:u w:val="none"/>
    </w:rPr>
  </w:style>
  <w:style w:type="paragraph" w:styleId="TOC3">
    <w:name w:val="toc 3"/>
    <w:basedOn w:val="Normal"/>
    <w:next w:val="Normal"/>
    <w:autoRedefine/>
    <w:uiPriority w:val="39"/>
    <w:unhideWhenUsed/>
    <w:rsid w:val="00C22A90"/>
    <w:pPr>
      <w:spacing w:after="100" w:line="240" w:lineRule="auto"/>
      <w:ind w:left="440"/>
      <w:jc w:val="both"/>
    </w:pPr>
    <w:rPr>
      <w:rFonts w:ascii="Arial" w:eastAsia="Times New Roman" w:hAnsi="Arial" w:cs="Times New Roman"/>
      <w:szCs w:val="24"/>
    </w:rPr>
  </w:style>
  <w:style w:type="character" w:customStyle="1" w:styleId="Heading1Char">
    <w:name w:val="Heading 1 Char"/>
    <w:basedOn w:val="DefaultParagraphFont"/>
    <w:link w:val="Heading1"/>
    <w:uiPriority w:val="9"/>
    <w:rsid w:val="00C65B00"/>
    <w:rPr>
      <w:rFonts w:asciiTheme="majorHAnsi" w:eastAsiaTheme="majorEastAsia" w:hAnsiTheme="majorHAnsi" w:cstheme="majorBidi"/>
      <w:b/>
      <w:bCs/>
      <w:sz w:val="28"/>
      <w:szCs w:val="28"/>
      <w:u w:val="none"/>
    </w:rPr>
  </w:style>
  <w:style w:type="paragraph" w:styleId="TOCHeading">
    <w:name w:val="TOC Heading"/>
    <w:basedOn w:val="Heading1"/>
    <w:next w:val="Normal"/>
    <w:uiPriority w:val="39"/>
    <w:semiHidden/>
    <w:unhideWhenUsed/>
    <w:qFormat/>
    <w:rsid w:val="00C22A90"/>
    <w:pPr>
      <w:outlineLvl w:val="9"/>
    </w:pPr>
    <w:rPr>
      <w:lang w:val="en-US"/>
    </w:rPr>
  </w:style>
  <w:style w:type="character" w:customStyle="1" w:styleId="Heading3Char">
    <w:name w:val="Heading 3 Char"/>
    <w:basedOn w:val="DefaultParagraphFont"/>
    <w:link w:val="Heading3"/>
    <w:rsid w:val="00B4662A"/>
    <w:rPr>
      <w:rFonts w:ascii="Times New Roman" w:eastAsia="Times New Roman" w:hAnsi="Times New Roman" w:cs="Arial"/>
      <w:b/>
      <w:bCs/>
      <w:sz w:val="26"/>
      <w:szCs w:val="26"/>
    </w:rPr>
  </w:style>
  <w:style w:type="paragraph" w:styleId="Caption">
    <w:name w:val="caption"/>
    <w:basedOn w:val="Normal"/>
    <w:next w:val="Normal"/>
    <w:unhideWhenUsed/>
    <w:qFormat/>
    <w:rsid w:val="00C22A90"/>
    <w:pPr>
      <w:spacing w:line="240" w:lineRule="auto"/>
      <w:jc w:val="both"/>
    </w:pPr>
    <w:rPr>
      <w:rFonts w:ascii="Arial" w:eastAsia="Times New Roman" w:hAnsi="Arial" w:cs="Times New Roman"/>
      <w:b/>
      <w:bCs/>
      <w:color w:val="4F81BD" w:themeColor="accent1"/>
      <w:sz w:val="18"/>
      <w:szCs w:val="18"/>
    </w:rPr>
  </w:style>
  <w:style w:type="table" w:styleId="TableGrid">
    <w:name w:val="Table Grid"/>
    <w:basedOn w:val="TableNormal"/>
    <w:uiPriority w:val="59"/>
    <w:rsid w:val="00C22A90"/>
    <w:pPr>
      <w:spacing w:after="0" w:line="240" w:lineRule="auto"/>
    </w:pPr>
    <w:rPr>
      <w:rFonts w:eastAsiaTheme="minorEastAsia"/>
      <w:sz w:val="20"/>
      <w:szCs w:val="20"/>
      <w:lang w:eastAsia="is-I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C2747"/>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42407F"/>
    <w:pPr>
      <w:tabs>
        <w:tab w:val="right" w:leader="dot" w:pos="9062"/>
      </w:tabs>
      <w:spacing w:after="100"/>
      <w:ind w:left="220"/>
    </w:pPr>
    <w:rPr>
      <w:rFonts w:cs="Times New Roman"/>
      <w:noProof/>
      <w:u w:val="none"/>
    </w:rPr>
  </w:style>
  <w:style w:type="character" w:styleId="CommentReference">
    <w:name w:val="annotation reference"/>
    <w:basedOn w:val="DefaultParagraphFont"/>
    <w:semiHidden/>
    <w:unhideWhenUsed/>
    <w:rsid w:val="00D1567A"/>
    <w:rPr>
      <w:sz w:val="16"/>
      <w:szCs w:val="16"/>
    </w:rPr>
  </w:style>
  <w:style w:type="paragraph" w:styleId="CommentText">
    <w:name w:val="annotation text"/>
    <w:basedOn w:val="Normal"/>
    <w:link w:val="CommentTextChar"/>
    <w:semiHidden/>
    <w:unhideWhenUsed/>
    <w:rsid w:val="00D1567A"/>
    <w:pPr>
      <w:spacing w:line="240" w:lineRule="auto"/>
    </w:pPr>
    <w:rPr>
      <w:sz w:val="20"/>
      <w:szCs w:val="20"/>
    </w:rPr>
  </w:style>
  <w:style w:type="character" w:customStyle="1" w:styleId="CommentTextChar">
    <w:name w:val="Comment Text Char"/>
    <w:basedOn w:val="DefaultParagraphFont"/>
    <w:link w:val="CommentText"/>
    <w:uiPriority w:val="99"/>
    <w:semiHidden/>
    <w:rsid w:val="00D1567A"/>
    <w:rPr>
      <w:sz w:val="20"/>
      <w:szCs w:val="20"/>
    </w:rPr>
  </w:style>
  <w:style w:type="paragraph" w:styleId="CommentSubject">
    <w:name w:val="annotation subject"/>
    <w:basedOn w:val="CommentText"/>
    <w:next w:val="CommentText"/>
    <w:link w:val="CommentSubjectChar"/>
    <w:uiPriority w:val="99"/>
    <w:semiHidden/>
    <w:unhideWhenUsed/>
    <w:rsid w:val="00D1567A"/>
    <w:rPr>
      <w:b/>
      <w:bCs/>
    </w:rPr>
  </w:style>
  <w:style w:type="character" w:customStyle="1" w:styleId="CommentSubjectChar">
    <w:name w:val="Comment Subject Char"/>
    <w:basedOn w:val="CommentTextChar"/>
    <w:link w:val="CommentSubject"/>
    <w:uiPriority w:val="99"/>
    <w:semiHidden/>
    <w:rsid w:val="00D1567A"/>
    <w:rPr>
      <w:b/>
      <w:bCs/>
      <w:sz w:val="20"/>
      <w:szCs w:val="20"/>
    </w:rPr>
  </w:style>
  <w:style w:type="character" w:customStyle="1" w:styleId="FooterChar">
    <w:name w:val="Footer Char"/>
    <w:basedOn w:val="DefaultParagraphFont"/>
    <w:rsid w:val="00C25BC1"/>
    <w:rPr>
      <w:rFonts w:ascii="Arial" w:hAnsi="Arial"/>
      <w:sz w:val="22"/>
      <w:szCs w:val="24"/>
      <w:lang w:eastAsia="en-US"/>
    </w:rPr>
  </w:style>
  <w:style w:type="table" w:styleId="TableContemporary">
    <w:name w:val="Table Contemporary"/>
    <w:basedOn w:val="TableNormal"/>
    <w:rsid w:val="00C25BC1"/>
    <w:pPr>
      <w:tabs>
        <w:tab w:val="left" w:pos="1440"/>
        <w:tab w:val="left" w:pos="2160"/>
      </w:tabs>
      <w:spacing w:before="240" w:after="0" w:line="360" w:lineRule="auto"/>
      <w:ind w:left="851"/>
      <w:jc w:val="both"/>
    </w:pPr>
    <w:rPr>
      <w:rFonts w:eastAsia="Times New Roman" w:cs="Times New Roman"/>
      <w:sz w:val="20"/>
      <w:szCs w:val="20"/>
      <w:u w:val="none"/>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40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u w:val="single"/>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2A"/>
  </w:style>
  <w:style w:type="paragraph" w:styleId="Heading1">
    <w:name w:val="heading 1"/>
    <w:basedOn w:val="Normal"/>
    <w:next w:val="Normal"/>
    <w:link w:val="Heading1Char"/>
    <w:uiPriority w:val="9"/>
    <w:qFormat/>
    <w:rsid w:val="00C65B00"/>
    <w:pPr>
      <w:keepNext/>
      <w:keepLines/>
      <w:spacing w:before="480" w:after="0"/>
      <w:outlineLvl w:val="0"/>
    </w:pPr>
    <w:rPr>
      <w:rFonts w:asciiTheme="majorHAnsi" w:eastAsiaTheme="majorEastAsia" w:hAnsiTheme="majorHAnsi" w:cstheme="majorBidi"/>
      <w:b/>
      <w:bCs/>
      <w:sz w:val="28"/>
      <w:szCs w:val="28"/>
      <w:u w:val="none"/>
    </w:rPr>
  </w:style>
  <w:style w:type="paragraph" w:styleId="Heading2">
    <w:name w:val="heading 2"/>
    <w:basedOn w:val="Normal"/>
    <w:next w:val="Normal"/>
    <w:link w:val="Heading2Char"/>
    <w:uiPriority w:val="9"/>
    <w:unhideWhenUsed/>
    <w:qFormat/>
    <w:rsid w:val="000C2747"/>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B4662A"/>
    <w:pPr>
      <w:keepNext/>
      <w:spacing w:before="240" w:after="60" w:line="240" w:lineRule="auto"/>
      <w:jc w:val="both"/>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B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BBC"/>
  </w:style>
  <w:style w:type="paragraph" w:styleId="Footer">
    <w:name w:val="footer"/>
    <w:basedOn w:val="Normal"/>
    <w:link w:val="FooterChar1"/>
    <w:unhideWhenUsed/>
    <w:rsid w:val="004A4BBC"/>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4A4BBC"/>
  </w:style>
  <w:style w:type="paragraph" w:styleId="BalloonText">
    <w:name w:val="Balloon Text"/>
    <w:basedOn w:val="Normal"/>
    <w:link w:val="BalloonTextChar"/>
    <w:uiPriority w:val="99"/>
    <w:semiHidden/>
    <w:unhideWhenUsed/>
    <w:rsid w:val="004A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BC"/>
    <w:rPr>
      <w:rFonts w:ascii="Tahoma" w:hAnsi="Tahoma" w:cs="Tahoma"/>
      <w:sz w:val="16"/>
      <w:szCs w:val="16"/>
    </w:rPr>
  </w:style>
  <w:style w:type="character" w:styleId="Hyperlink">
    <w:name w:val="Hyperlink"/>
    <w:basedOn w:val="DefaultParagraphFont"/>
    <w:uiPriority w:val="99"/>
    <w:unhideWhenUsed/>
    <w:rsid w:val="00924623"/>
    <w:rPr>
      <w:color w:val="0000FF" w:themeColor="hyperlink"/>
      <w:u w:val="single"/>
    </w:rPr>
  </w:style>
  <w:style w:type="paragraph" w:styleId="TOC1">
    <w:name w:val="toc 1"/>
    <w:basedOn w:val="Normal"/>
    <w:next w:val="Normal"/>
    <w:autoRedefine/>
    <w:uiPriority w:val="39"/>
    <w:unhideWhenUsed/>
    <w:rsid w:val="000C2747"/>
    <w:pPr>
      <w:tabs>
        <w:tab w:val="right" w:leader="dot" w:pos="9062"/>
      </w:tabs>
      <w:spacing w:after="100" w:line="240" w:lineRule="auto"/>
      <w:jc w:val="both"/>
    </w:pPr>
    <w:rPr>
      <w:rFonts w:eastAsiaTheme="majorEastAsia" w:cs="Times New Roman"/>
      <w:noProof/>
      <w:szCs w:val="24"/>
      <w:u w:val="none"/>
    </w:rPr>
  </w:style>
  <w:style w:type="paragraph" w:styleId="TOC3">
    <w:name w:val="toc 3"/>
    <w:basedOn w:val="Normal"/>
    <w:next w:val="Normal"/>
    <w:autoRedefine/>
    <w:uiPriority w:val="39"/>
    <w:unhideWhenUsed/>
    <w:rsid w:val="00C22A90"/>
    <w:pPr>
      <w:spacing w:after="100" w:line="240" w:lineRule="auto"/>
      <w:ind w:left="440"/>
      <w:jc w:val="both"/>
    </w:pPr>
    <w:rPr>
      <w:rFonts w:ascii="Arial" w:eastAsia="Times New Roman" w:hAnsi="Arial" w:cs="Times New Roman"/>
      <w:szCs w:val="24"/>
    </w:rPr>
  </w:style>
  <w:style w:type="character" w:customStyle="1" w:styleId="Heading1Char">
    <w:name w:val="Heading 1 Char"/>
    <w:basedOn w:val="DefaultParagraphFont"/>
    <w:link w:val="Heading1"/>
    <w:uiPriority w:val="9"/>
    <w:rsid w:val="00C65B00"/>
    <w:rPr>
      <w:rFonts w:asciiTheme="majorHAnsi" w:eastAsiaTheme="majorEastAsia" w:hAnsiTheme="majorHAnsi" w:cstheme="majorBidi"/>
      <w:b/>
      <w:bCs/>
      <w:sz w:val="28"/>
      <w:szCs w:val="28"/>
      <w:u w:val="none"/>
    </w:rPr>
  </w:style>
  <w:style w:type="paragraph" w:styleId="TOCHeading">
    <w:name w:val="TOC Heading"/>
    <w:basedOn w:val="Heading1"/>
    <w:next w:val="Normal"/>
    <w:uiPriority w:val="39"/>
    <w:semiHidden/>
    <w:unhideWhenUsed/>
    <w:qFormat/>
    <w:rsid w:val="00C22A90"/>
    <w:pPr>
      <w:outlineLvl w:val="9"/>
    </w:pPr>
    <w:rPr>
      <w:lang w:val="en-US"/>
    </w:rPr>
  </w:style>
  <w:style w:type="character" w:customStyle="1" w:styleId="Heading3Char">
    <w:name w:val="Heading 3 Char"/>
    <w:basedOn w:val="DefaultParagraphFont"/>
    <w:link w:val="Heading3"/>
    <w:rsid w:val="00B4662A"/>
    <w:rPr>
      <w:rFonts w:ascii="Times New Roman" w:eastAsia="Times New Roman" w:hAnsi="Times New Roman" w:cs="Arial"/>
      <w:b/>
      <w:bCs/>
      <w:sz w:val="26"/>
      <w:szCs w:val="26"/>
    </w:rPr>
  </w:style>
  <w:style w:type="paragraph" w:styleId="Caption">
    <w:name w:val="caption"/>
    <w:basedOn w:val="Normal"/>
    <w:next w:val="Normal"/>
    <w:unhideWhenUsed/>
    <w:qFormat/>
    <w:rsid w:val="00C22A90"/>
    <w:pPr>
      <w:spacing w:line="240" w:lineRule="auto"/>
      <w:jc w:val="both"/>
    </w:pPr>
    <w:rPr>
      <w:rFonts w:ascii="Arial" w:eastAsia="Times New Roman" w:hAnsi="Arial" w:cs="Times New Roman"/>
      <w:b/>
      <w:bCs/>
      <w:color w:val="4F81BD" w:themeColor="accent1"/>
      <w:sz w:val="18"/>
      <w:szCs w:val="18"/>
    </w:rPr>
  </w:style>
  <w:style w:type="table" w:styleId="TableGrid">
    <w:name w:val="Table Grid"/>
    <w:basedOn w:val="TableNormal"/>
    <w:uiPriority w:val="59"/>
    <w:rsid w:val="00C22A90"/>
    <w:pPr>
      <w:spacing w:after="0" w:line="240" w:lineRule="auto"/>
    </w:pPr>
    <w:rPr>
      <w:rFonts w:eastAsiaTheme="minorEastAsia"/>
      <w:sz w:val="20"/>
      <w:szCs w:val="20"/>
      <w:lang w:eastAsia="is-I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C2747"/>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42407F"/>
    <w:pPr>
      <w:tabs>
        <w:tab w:val="right" w:leader="dot" w:pos="9062"/>
      </w:tabs>
      <w:spacing w:after="100"/>
      <w:ind w:left="220"/>
    </w:pPr>
    <w:rPr>
      <w:rFonts w:cs="Times New Roman"/>
      <w:noProof/>
      <w:u w:val="none"/>
    </w:rPr>
  </w:style>
  <w:style w:type="character" w:styleId="CommentReference">
    <w:name w:val="annotation reference"/>
    <w:basedOn w:val="DefaultParagraphFont"/>
    <w:semiHidden/>
    <w:unhideWhenUsed/>
    <w:rsid w:val="00D1567A"/>
    <w:rPr>
      <w:sz w:val="16"/>
      <w:szCs w:val="16"/>
    </w:rPr>
  </w:style>
  <w:style w:type="paragraph" w:styleId="CommentText">
    <w:name w:val="annotation text"/>
    <w:basedOn w:val="Normal"/>
    <w:link w:val="CommentTextChar"/>
    <w:semiHidden/>
    <w:unhideWhenUsed/>
    <w:rsid w:val="00D1567A"/>
    <w:pPr>
      <w:spacing w:line="240" w:lineRule="auto"/>
    </w:pPr>
    <w:rPr>
      <w:sz w:val="20"/>
      <w:szCs w:val="20"/>
    </w:rPr>
  </w:style>
  <w:style w:type="character" w:customStyle="1" w:styleId="CommentTextChar">
    <w:name w:val="Comment Text Char"/>
    <w:basedOn w:val="DefaultParagraphFont"/>
    <w:link w:val="CommentText"/>
    <w:uiPriority w:val="99"/>
    <w:semiHidden/>
    <w:rsid w:val="00D1567A"/>
    <w:rPr>
      <w:sz w:val="20"/>
      <w:szCs w:val="20"/>
    </w:rPr>
  </w:style>
  <w:style w:type="paragraph" w:styleId="CommentSubject">
    <w:name w:val="annotation subject"/>
    <w:basedOn w:val="CommentText"/>
    <w:next w:val="CommentText"/>
    <w:link w:val="CommentSubjectChar"/>
    <w:uiPriority w:val="99"/>
    <w:semiHidden/>
    <w:unhideWhenUsed/>
    <w:rsid w:val="00D1567A"/>
    <w:rPr>
      <w:b/>
      <w:bCs/>
    </w:rPr>
  </w:style>
  <w:style w:type="character" w:customStyle="1" w:styleId="CommentSubjectChar">
    <w:name w:val="Comment Subject Char"/>
    <w:basedOn w:val="CommentTextChar"/>
    <w:link w:val="CommentSubject"/>
    <w:uiPriority w:val="99"/>
    <w:semiHidden/>
    <w:rsid w:val="00D1567A"/>
    <w:rPr>
      <w:b/>
      <w:bCs/>
      <w:sz w:val="20"/>
      <w:szCs w:val="20"/>
    </w:rPr>
  </w:style>
  <w:style w:type="character" w:customStyle="1" w:styleId="FooterChar">
    <w:name w:val="Footer Char"/>
    <w:basedOn w:val="DefaultParagraphFont"/>
    <w:rsid w:val="00C25BC1"/>
    <w:rPr>
      <w:rFonts w:ascii="Arial" w:hAnsi="Arial"/>
      <w:sz w:val="22"/>
      <w:szCs w:val="24"/>
      <w:lang w:eastAsia="en-US"/>
    </w:rPr>
  </w:style>
  <w:style w:type="table" w:styleId="TableContemporary">
    <w:name w:val="Table Contemporary"/>
    <w:basedOn w:val="TableNormal"/>
    <w:rsid w:val="00C25BC1"/>
    <w:pPr>
      <w:tabs>
        <w:tab w:val="left" w:pos="1440"/>
        <w:tab w:val="left" w:pos="2160"/>
      </w:tabs>
      <w:spacing w:before="240" w:after="0" w:line="360" w:lineRule="auto"/>
      <w:ind w:left="851"/>
      <w:jc w:val="both"/>
    </w:pPr>
    <w:rPr>
      <w:rFonts w:eastAsia="Times New Roman" w:cs="Times New Roman"/>
      <w:sz w:val="20"/>
      <w:szCs w:val="20"/>
      <w:u w:val="none"/>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40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2995">
      <w:bodyDiv w:val="1"/>
      <w:marLeft w:val="0"/>
      <w:marRight w:val="0"/>
      <w:marTop w:val="0"/>
      <w:marBottom w:val="0"/>
      <w:divBdr>
        <w:top w:val="none" w:sz="0" w:space="0" w:color="auto"/>
        <w:left w:val="none" w:sz="0" w:space="0" w:color="auto"/>
        <w:bottom w:val="none" w:sz="0" w:space="0" w:color="auto"/>
        <w:right w:val="none" w:sz="0" w:space="0" w:color="auto"/>
      </w:divBdr>
    </w:div>
    <w:div w:id="848103562">
      <w:bodyDiv w:val="1"/>
      <w:marLeft w:val="0"/>
      <w:marRight w:val="0"/>
      <w:marTop w:val="0"/>
      <w:marBottom w:val="0"/>
      <w:divBdr>
        <w:top w:val="none" w:sz="0" w:space="0" w:color="auto"/>
        <w:left w:val="none" w:sz="0" w:space="0" w:color="auto"/>
        <w:bottom w:val="none" w:sz="0" w:space="0" w:color="auto"/>
        <w:right w:val="none" w:sz="0" w:space="0" w:color="auto"/>
      </w:divBdr>
    </w:div>
    <w:div w:id="10064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6230-2D6F-4E0C-961B-0429D5CB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13543</Characters>
  <Application>Microsoft Office Word</Application>
  <DocSecurity>0</DocSecurity>
  <Lines>112</Lines>
  <Paragraphs>31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AVH</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Arnar Birgir Ólafsson</cp:lastModifiedBy>
  <cp:revision>2</cp:revision>
  <cp:lastPrinted>2011-10-31T09:20:00Z</cp:lastPrinted>
  <dcterms:created xsi:type="dcterms:W3CDTF">2011-11-02T10:12:00Z</dcterms:created>
  <dcterms:modified xsi:type="dcterms:W3CDTF">2011-11-02T10:12:00Z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Krossanes umhverfisskýrsla 111027_útgáfa2.docx</vt:lpwstr>
  </property>
  <property fmtid="{D5CDD505-2E9C-101B-9397-08002B2CF9AE}" pid="3" name="One_Number">
    <vt:lpwstr>2011090003</vt:lpwstr>
  </property>
  <property fmtid="{D5CDD505-2E9C-101B-9397-08002B2CF9AE}" pid="4" name="One_Employee">
    <vt:lpwstr/>
  </property>
  <property fmtid="{D5CDD505-2E9C-101B-9397-08002B2CF9AE}" pid="5" name="One_Status">
    <vt:lpwstr/>
  </property>
  <property fmtid="{D5CDD505-2E9C-101B-9397-08002B2CF9AE}" pid="6" name="One_FileVersion">
    <vt:lpwstr>0.1</vt:lpwstr>
  </property>
  <property fmtid="{D5CDD505-2E9C-101B-9397-08002B2CF9AE}" pid="7" name="One_FileComment">
    <vt:lpwstr/>
  </property>
  <property fmtid="{D5CDD505-2E9C-101B-9397-08002B2CF9AE}" pid="8" name="One_Author">
    <vt:lpwstr>Arnar Birgir Ólafsson</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ies>
</file>